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85" w:rsidRDefault="00720985" w:rsidP="00BF15B4">
      <w:pPr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552CE4" w:rsidRPr="00300417" w:rsidRDefault="003E214E" w:rsidP="00BF15B4">
      <w:pPr>
        <w:spacing w:after="0" w:line="240" w:lineRule="auto"/>
        <w:jc w:val="center"/>
        <w:rPr>
          <w:rFonts w:ascii="Century Gothic" w:hAnsi="Century Gothic"/>
          <w:b/>
          <w:color w:val="008080"/>
        </w:rPr>
      </w:pPr>
      <w:r w:rsidRPr="009552A9">
        <w:rPr>
          <w:rFonts w:ascii="Century Gothic" w:hAnsi="Century Gothic"/>
          <w:b/>
          <w:color w:val="008080"/>
        </w:rPr>
        <w:t>RESPONSABLE DE LA GESTION DES CARRIERES</w:t>
      </w:r>
      <w:r w:rsidR="009552A9" w:rsidRPr="009552A9">
        <w:rPr>
          <w:rFonts w:ascii="Century Gothic" w:hAnsi="Century Gothic"/>
          <w:b/>
          <w:color w:val="008080"/>
        </w:rPr>
        <w:t xml:space="preserve"> &amp; DES CONCOURS</w:t>
      </w:r>
    </w:p>
    <w:p w:rsidR="000B2B2E" w:rsidRPr="000B2B2E" w:rsidRDefault="000B2B2E" w:rsidP="00BF15B4">
      <w:pPr>
        <w:spacing w:after="0" w:line="240" w:lineRule="auto"/>
        <w:jc w:val="center"/>
        <w:rPr>
          <w:rFonts w:ascii="Century Gothic" w:hAnsi="Century Gothic"/>
          <w:b/>
        </w:rPr>
      </w:pPr>
    </w:p>
    <w:tbl>
      <w:tblPr>
        <w:tblStyle w:val="Grilledutableau"/>
        <w:tblW w:w="0" w:type="auto"/>
        <w:tblBorders>
          <w:top w:val="single" w:sz="4" w:space="0" w:color="00B1AA"/>
          <w:left w:val="none" w:sz="0" w:space="0" w:color="auto"/>
          <w:bottom w:val="single" w:sz="4" w:space="0" w:color="00B1AA"/>
          <w:right w:val="none" w:sz="0" w:space="0" w:color="auto"/>
          <w:insideH w:val="single" w:sz="4" w:space="0" w:color="00B1AA"/>
          <w:insideV w:val="single" w:sz="4" w:space="0" w:color="00B1AA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Temps de travail</w:t>
            </w:r>
          </w:p>
        </w:tc>
        <w:tc>
          <w:tcPr>
            <w:tcW w:w="5806" w:type="dxa"/>
          </w:tcPr>
          <w:p w:rsidR="00C846EC" w:rsidRPr="000B2B2E" w:rsidRDefault="0065778C" w:rsidP="0065778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100% - c</w:t>
            </w:r>
            <w:r w:rsidR="00E03473">
              <w:rPr>
                <w:rFonts w:ascii="Century Gothic" w:hAnsi="Century Gothic"/>
                <w:sz w:val="19"/>
                <w:szCs w:val="19"/>
              </w:rPr>
              <w:t xml:space="preserve">adre au forfait </w:t>
            </w:r>
            <w:r w:rsidR="0093371F">
              <w:rPr>
                <w:rFonts w:ascii="Century Gothic" w:hAnsi="Century Gothic"/>
                <w:sz w:val="19"/>
                <w:szCs w:val="19"/>
              </w:rPr>
              <w:t>(1</w:t>
            </w:r>
            <w:r w:rsidR="00E03473">
              <w:rPr>
                <w:rFonts w:ascii="Century Gothic" w:hAnsi="Century Gothic"/>
                <w:sz w:val="19"/>
                <w:szCs w:val="19"/>
              </w:rPr>
              <w:t xml:space="preserve">9 </w:t>
            </w:r>
            <w:r w:rsidR="0093371F">
              <w:rPr>
                <w:rFonts w:ascii="Century Gothic" w:hAnsi="Century Gothic"/>
                <w:sz w:val="19"/>
                <w:szCs w:val="19"/>
              </w:rPr>
              <w:t xml:space="preserve">RTT/an) 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Statut</w:t>
            </w:r>
          </w:p>
        </w:tc>
        <w:tc>
          <w:tcPr>
            <w:tcW w:w="5806" w:type="dxa"/>
          </w:tcPr>
          <w:p w:rsidR="00C846EC" w:rsidRPr="000B2B2E" w:rsidRDefault="0029308E" w:rsidP="00B67AE3">
            <w:pPr>
              <w:rPr>
                <w:rFonts w:ascii="Century Gothic" w:hAnsi="Century Gothic"/>
                <w:sz w:val="19"/>
                <w:szCs w:val="19"/>
              </w:rPr>
            </w:pPr>
            <w:r w:rsidRPr="000B2B2E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93371F">
              <w:rPr>
                <w:rFonts w:ascii="Century Gothic" w:hAnsi="Century Gothic"/>
                <w:sz w:val="19"/>
                <w:szCs w:val="19"/>
              </w:rPr>
              <w:t xml:space="preserve">Titulaire / contractuel 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Grade</w:t>
            </w:r>
          </w:p>
        </w:tc>
        <w:tc>
          <w:tcPr>
            <w:tcW w:w="5806" w:type="dxa"/>
          </w:tcPr>
          <w:p w:rsidR="00C846EC" w:rsidRPr="000B2B2E" w:rsidRDefault="0093371F" w:rsidP="003E214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Adjoint </w:t>
            </w:r>
            <w:r w:rsidR="003E214E">
              <w:rPr>
                <w:rFonts w:ascii="Century Gothic" w:hAnsi="Century Gothic"/>
                <w:sz w:val="19"/>
                <w:szCs w:val="19"/>
              </w:rPr>
              <w:t>des cadres hospitaliers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Intitulé du poste</w:t>
            </w:r>
          </w:p>
        </w:tc>
        <w:tc>
          <w:tcPr>
            <w:tcW w:w="5806" w:type="dxa"/>
          </w:tcPr>
          <w:p w:rsidR="00C846EC" w:rsidRPr="000B2B2E" w:rsidRDefault="009552A9" w:rsidP="00F31CA9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Responsable Carrières &amp; Concours</w:t>
            </w:r>
            <w:r w:rsidR="0093371F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Lieux de travail</w:t>
            </w:r>
          </w:p>
        </w:tc>
        <w:tc>
          <w:tcPr>
            <w:tcW w:w="5806" w:type="dxa"/>
          </w:tcPr>
          <w:p w:rsidR="00C846EC" w:rsidRPr="000B2B2E" w:rsidRDefault="0093371F" w:rsidP="008D63CC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Rue Ferrus – Paris 14</w:t>
            </w:r>
            <w:r w:rsidRPr="0093371F">
              <w:rPr>
                <w:rFonts w:ascii="Century Gothic" w:hAnsi="Century Gothic"/>
                <w:sz w:val="19"/>
                <w:szCs w:val="19"/>
                <w:vertAlign w:val="superscript"/>
              </w:rPr>
              <w:t>ème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Horaires</w:t>
            </w:r>
          </w:p>
        </w:tc>
        <w:tc>
          <w:tcPr>
            <w:tcW w:w="5806" w:type="dxa"/>
          </w:tcPr>
          <w:p w:rsidR="00C846EC" w:rsidRPr="000B2B2E" w:rsidRDefault="00E403F3" w:rsidP="00E03473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 définir sur une amplitude de 8h30 à 1</w:t>
            </w:r>
            <w:r w:rsidR="00E03473">
              <w:rPr>
                <w:rFonts w:ascii="Century Gothic" w:hAnsi="Century Gothic"/>
                <w:sz w:val="19"/>
                <w:szCs w:val="19"/>
              </w:rPr>
              <w:t>8</w:t>
            </w:r>
            <w:r>
              <w:rPr>
                <w:rFonts w:ascii="Century Gothic" w:hAnsi="Century Gothic"/>
                <w:sz w:val="19"/>
                <w:szCs w:val="19"/>
              </w:rPr>
              <w:t>h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Spécificités liées à la fonction</w:t>
            </w:r>
          </w:p>
        </w:tc>
        <w:tc>
          <w:tcPr>
            <w:tcW w:w="5806" w:type="dxa"/>
          </w:tcPr>
          <w:p w:rsidR="001E1D93" w:rsidRPr="000B2B2E" w:rsidRDefault="0029308E" w:rsidP="003E214E">
            <w:pPr>
              <w:rPr>
                <w:rFonts w:ascii="Century Gothic" w:hAnsi="Century Gothic"/>
                <w:sz w:val="19"/>
                <w:szCs w:val="19"/>
              </w:rPr>
            </w:pPr>
            <w:r w:rsidRPr="000B2B2E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="003E214E">
              <w:rPr>
                <w:rFonts w:ascii="Century Gothic" w:hAnsi="Century Gothic"/>
                <w:sz w:val="19"/>
                <w:szCs w:val="19"/>
              </w:rPr>
              <w:t>Encadrement - t</w:t>
            </w:r>
            <w:r w:rsidR="00E403F3">
              <w:rPr>
                <w:rFonts w:ascii="Century Gothic" w:hAnsi="Century Gothic"/>
                <w:sz w:val="19"/>
                <w:szCs w:val="19"/>
              </w:rPr>
              <w:t xml:space="preserve">ravail sur écran – organisation individuelle du travail </w:t>
            </w:r>
            <w:r w:rsidR="00CF1CCC">
              <w:rPr>
                <w:rFonts w:ascii="Century Gothic" w:hAnsi="Century Gothic"/>
                <w:sz w:val="19"/>
                <w:szCs w:val="19"/>
              </w:rPr>
              <w:t>–</w:t>
            </w:r>
            <w:r w:rsidR="009552A9">
              <w:rPr>
                <w:rFonts w:ascii="Century Gothic" w:hAnsi="Century Gothic"/>
                <w:sz w:val="19"/>
                <w:szCs w:val="19"/>
              </w:rPr>
              <w:t xml:space="preserve"> responsabilités – </w:t>
            </w:r>
            <w:r w:rsidR="00CF1CCC">
              <w:rPr>
                <w:rFonts w:ascii="Century Gothic" w:hAnsi="Century Gothic"/>
                <w:sz w:val="19"/>
                <w:szCs w:val="19"/>
              </w:rPr>
              <w:t>prise d’initiative</w:t>
            </w:r>
            <w:r w:rsidR="009552A9">
              <w:rPr>
                <w:rFonts w:ascii="Century Gothic" w:hAnsi="Century Gothic"/>
                <w:sz w:val="19"/>
                <w:szCs w:val="19"/>
              </w:rPr>
              <w:t>s – travail en équipe</w:t>
            </w:r>
          </w:p>
        </w:tc>
      </w:tr>
      <w:tr w:rsidR="00F81936" w:rsidTr="00B67AE3"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 xml:space="preserve">Poste à pourvoir à compter du </w:t>
            </w:r>
          </w:p>
        </w:tc>
        <w:tc>
          <w:tcPr>
            <w:tcW w:w="5806" w:type="dxa"/>
          </w:tcPr>
          <w:p w:rsidR="00C846EC" w:rsidRPr="000B2B2E" w:rsidRDefault="003E214E" w:rsidP="000B2B2E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Pr="003E214E">
              <w:rPr>
                <w:rFonts w:ascii="Century Gothic" w:hAnsi="Century Gothic"/>
                <w:sz w:val="19"/>
                <w:szCs w:val="19"/>
                <w:vertAlign w:val="superscript"/>
              </w:rPr>
              <w:t>er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octobre 2020</w:t>
            </w:r>
          </w:p>
        </w:tc>
      </w:tr>
      <w:tr w:rsidR="00F81936" w:rsidTr="00B67AE3">
        <w:trPr>
          <w:trHeight w:val="58"/>
        </w:trPr>
        <w:tc>
          <w:tcPr>
            <w:tcW w:w="3256" w:type="dxa"/>
          </w:tcPr>
          <w:p w:rsidR="00C846EC" w:rsidRPr="000B2B2E" w:rsidRDefault="0029308E" w:rsidP="008D63CC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B2B2E">
              <w:rPr>
                <w:rFonts w:ascii="Century Gothic" w:hAnsi="Century Gothic"/>
                <w:b/>
                <w:sz w:val="19"/>
                <w:szCs w:val="19"/>
              </w:rPr>
              <w:t>Candidatures à adresser</w:t>
            </w:r>
          </w:p>
        </w:tc>
        <w:tc>
          <w:tcPr>
            <w:tcW w:w="5806" w:type="dxa"/>
          </w:tcPr>
          <w:p w:rsidR="00C846EC" w:rsidRPr="000B2B2E" w:rsidRDefault="00F52AB4" w:rsidP="000B2B2E">
            <w:pPr>
              <w:rPr>
                <w:rFonts w:ascii="Century Gothic" w:hAnsi="Century Gothic"/>
                <w:sz w:val="19"/>
                <w:szCs w:val="19"/>
              </w:rPr>
            </w:pPr>
            <w:hyperlink r:id="rId8" w:history="1">
              <w:r w:rsidR="0065778C" w:rsidRPr="00E03473">
                <w:rPr>
                  <w:rFonts w:ascii="Century Gothic" w:eastAsia="Times New Roman" w:hAnsi="Century Gothic" w:cs="Times New Roman"/>
                  <w:bCs/>
                  <w:color w:val="2F5496" w:themeColor="accent5" w:themeShade="BF"/>
                  <w:sz w:val="20"/>
                  <w:szCs w:val="20"/>
                  <w:u w:val="single"/>
                  <w:lang w:eastAsia="fr-FR"/>
                </w:rPr>
                <w:t>m.letellier@ghu-paris.fr</w:t>
              </w:r>
            </w:hyperlink>
            <w:r w:rsidR="0065778C" w:rsidRPr="00E03473">
              <w:rPr>
                <w:rFonts w:ascii="Century Gothic" w:eastAsia="Times New Roman" w:hAnsi="Century Gothic" w:cs="Times New Roman"/>
                <w:bCs/>
                <w:color w:val="008080"/>
                <w:sz w:val="20"/>
                <w:szCs w:val="20"/>
                <w:lang w:eastAsia="fr-FR"/>
              </w:rPr>
              <w:t xml:space="preserve"> ; </w:t>
            </w:r>
            <w:hyperlink r:id="rId9" w:history="1">
              <w:r w:rsidR="0065778C" w:rsidRPr="00E03473">
                <w:rPr>
                  <w:rFonts w:ascii="Century Gothic" w:eastAsia="Times New Roman" w:hAnsi="Century Gothic" w:cs="Times New Roman"/>
                  <w:bCs/>
                  <w:color w:val="2F5496" w:themeColor="accent5" w:themeShade="BF"/>
                  <w:sz w:val="20"/>
                  <w:szCs w:val="20"/>
                  <w:u w:val="single"/>
                  <w:lang w:eastAsia="fr-FR"/>
                </w:rPr>
                <w:t>drh@ghu-paris.fr</w:t>
              </w:r>
            </w:hyperlink>
          </w:p>
        </w:tc>
      </w:tr>
    </w:tbl>
    <w:p w:rsidR="00342D1A" w:rsidRPr="000B2B2E" w:rsidRDefault="00342D1A" w:rsidP="00BF15B4">
      <w:pPr>
        <w:spacing w:after="0" w:line="240" w:lineRule="auto"/>
        <w:rPr>
          <w:rFonts w:ascii="Century Gothic" w:hAnsi="Century Gothic"/>
          <w:b/>
        </w:rPr>
      </w:pPr>
    </w:p>
    <w:p w:rsidR="003E214E" w:rsidRDefault="0029308E" w:rsidP="008B4822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3C112A">
        <w:rPr>
          <w:rFonts w:ascii="Century Gothic" w:hAnsi="Century Gothic"/>
          <w:color w:val="555E5E"/>
        </w:rPr>
        <w:t xml:space="preserve">Le </w:t>
      </w:r>
      <w:hyperlink r:id="rId10" w:history="1">
        <w:r w:rsidRPr="003C112A">
          <w:rPr>
            <w:rStyle w:val="Lienhypertexte"/>
            <w:rFonts w:ascii="Century Gothic" w:hAnsi="Century Gothic"/>
            <w:color w:val="555E5E"/>
          </w:rPr>
          <w:t xml:space="preserve">Groupe </w:t>
        </w:r>
        <w:r w:rsidR="007C2936">
          <w:rPr>
            <w:rStyle w:val="Lienhypertexte"/>
            <w:rFonts w:ascii="Century Gothic" w:hAnsi="Century Gothic"/>
            <w:color w:val="555E5E"/>
          </w:rPr>
          <w:t>Hospitalier U</w:t>
        </w:r>
        <w:r w:rsidRPr="003C112A">
          <w:rPr>
            <w:rStyle w:val="Lienhypertexte"/>
            <w:rFonts w:ascii="Century Gothic" w:hAnsi="Century Gothic"/>
            <w:color w:val="555E5E"/>
          </w:rPr>
          <w:t>niversitaire Paris psychiatrie &amp; neurosciences</w:t>
        </w:r>
      </w:hyperlink>
      <w:r w:rsidRPr="003C112A">
        <w:rPr>
          <w:rFonts w:ascii="Century Gothic" w:hAnsi="Century Gothic"/>
          <w:color w:val="555E5E"/>
        </w:rPr>
        <w:t xml:space="preserve"> est né le 1</w:t>
      </w:r>
      <w:r w:rsidRPr="003C112A">
        <w:rPr>
          <w:rFonts w:ascii="Century Gothic" w:hAnsi="Century Gothic"/>
          <w:color w:val="555E5E"/>
          <w:vertAlign w:val="superscript"/>
        </w:rPr>
        <w:t>er</w:t>
      </w:r>
      <w:r w:rsidRPr="003C112A">
        <w:rPr>
          <w:rFonts w:ascii="Century Gothic" w:hAnsi="Century Gothic"/>
          <w:color w:val="555E5E"/>
        </w:rPr>
        <w:t xml:space="preserve"> janvier 2019 des rapprochements des hôpitaux Sainte-Anne, Maison Blanche et Perray-Vaucluse. </w:t>
      </w:r>
      <w:r w:rsidR="007C2936">
        <w:rPr>
          <w:rFonts w:ascii="Century Gothic" w:hAnsi="Century Gothic"/>
          <w:color w:val="555E5E"/>
        </w:rPr>
        <w:t>Leader dans le soin, l’enseignement et la recherche portant sur les</w:t>
      </w:r>
      <w:r w:rsidRPr="003C112A">
        <w:rPr>
          <w:rFonts w:ascii="Century Gothic" w:hAnsi="Century Gothic"/>
          <w:color w:val="555E5E"/>
        </w:rPr>
        <w:t xml:space="preserve"> maladies mentales et </w:t>
      </w:r>
      <w:r w:rsidR="007C2936">
        <w:rPr>
          <w:rFonts w:ascii="Century Gothic" w:hAnsi="Century Gothic"/>
          <w:color w:val="555E5E"/>
        </w:rPr>
        <w:t>le</w:t>
      </w:r>
      <w:r w:rsidRPr="003C112A">
        <w:rPr>
          <w:rFonts w:ascii="Century Gothic" w:hAnsi="Century Gothic"/>
          <w:color w:val="555E5E"/>
        </w:rPr>
        <w:t xml:space="preserve"> système nerveux, </w:t>
      </w:r>
      <w:r w:rsidR="003E214E">
        <w:rPr>
          <w:rFonts w:ascii="Century Gothic" w:hAnsi="Century Gothic"/>
          <w:color w:val="555E5E"/>
        </w:rPr>
        <w:t>l</w:t>
      </w:r>
      <w:r w:rsidRPr="003C112A">
        <w:rPr>
          <w:rFonts w:ascii="Century Gothic" w:hAnsi="Century Gothic"/>
          <w:color w:val="555E5E"/>
        </w:rPr>
        <w:t>e GHU Paris assure la prise en charge de proximité, de recours et de spécialité des Parisiens dans toutes les disciplines associées à la santé mentale et au cerveau au sein de 170 structures réparties dans la capitale.</w:t>
      </w:r>
    </w:p>
    <w:p w:rsidR="008B4822" w:rsidRPr="009552A9" w:rsidRDefault="00F52AB4" w:rsidP="008B4822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  <w:sz w:val="20"/>
          <w:szCs w:val="20"/>
          <w:u w:val="none"/>
        </w:rPr>
      </w:pPr>
      <w:hyperlink r:id="rId11" w:history="1">
        <w:r w:rsidR="007C2936" w:rsidRPr="009552A9">
          <w:rPr>
            <w:rStyle w:val="Lienhypertexte"/>
            <w:rFonts w:ascii="Century Gothic" w:hAnsi="Century Gothic"/>
            <w:sz w:val="20"/>
            <w:szCs w:val="20"/>
          </w:rPr>
          <w:t xml:space="preserve">2 ‘ chrono pour connaître </w:t>
        </w:r>
        <w:r w:rsidR="0029308E" w:rsidRPr="009552A9">
          <w:rPr>
            <w:rStyle w:val="Lienhypertexte"/>
            <w:rFonts w:ascii="Century Gothic" w:hAnsi="Century Gothic"/>
            <w:sz w:val="20"/>
            <w:szCs w:val="20"/>
          </w:rPr>
          <w:t>le GHU Paris</w:t>
        </w:r>
        <w:r w:rsidR="007C2936" w:rsidRPr="009552A9">
          <w:rPr>
            <w:rStyle w:val="Lienhypertexte"/>
            <w:rFonts w:ascii="Century Gothic" w:hAnsi="Century Gothic"/>
            <w:sz w:val="20"/>
            <w:szCs w:val="20"/>
          </w:rPr>
          <w:t xml:space="preserve"> en images animées</w:t>
        </w:r>
        <w:r w:rsidR="0029308E" w:rsidRPr="009552A9">
          <w:rPr>
            <w:rStyle w:val="Lienhypertexte"/>
            <w:rFonts w:ascii="Century Gothic" w:hAnsi="Century Gothic"/>
            <w:sz w:val="20"/>
            <w:szCs w:val="20"/>
          </w:rPr>
          <w:t> </w:t>
        </w:r>
      </w:hyperlink>
    </w:p>
    <w:p w:rsidR="008B4822" w:rsidRPr="009552A9" w:rsidRDefault="00F52AB4" w:rsidP="008B4822">
      <w:pPr>
        <w:spacing w:after="0" w:line="240" w:lineRule="auto"/>
        <w:jc w:val="both"/>
        <w:rPr>
          <w:rStyle w:val="Lienhypertexte"/>
          <w:rFonts w:ascii="Century Gothic" w:hAnsi="Century Gothic"/>
          <w:color w:val="555E5E"/>
          <w:sz w:val="20"/>
          <w:szCs w:val="20"/>
        </w:rPr>
      </w:pPr>
      <w:hyperlink r:id="rId12" w:history="1">
        <w:r w:rsidR="007C2936" w:rsidRPr="009552A9">
          <w:rPr>
            <w:rStyle w:val="Lienhypertexte"/>
            <w:rFonts w:ascii="Century Gothic" w:hAnsi="Century Gothic"/>
            <w:sz w:val="20"/>
            <w:szCs w:val="20"/>
          </w:rPr>
          <w:t>www.ghu-paris.fr</w:t>
        </w:r>
      </w:hyperlink>
      <w:r w:rsidR="007C2936" w:rsidRPr="009552A9">
        <w:rPr>
          <w:rStyle w:val="Lienhypertexte"/>
          <w:rFonts w:ascii="Century Gothic" w:hAnsi="Century Gothic"/>
          <w:color w:val="555E5E"/>
          <w:sz w:val="20"/>
          <w:szCs w:val="20"/>
        </w:rPr>
        <w:t xml:space="preserve"> / Linkedn </w:t>
      </w:r>
      <w:hyperlink r:id="rId13" w:history="1">
        <w:r w:rsidR="007C2936" w:rsidRPr="009552A9">
          <w:rPr>
            <w:rStyle w:val="Lienhypertexte"/>
            <w:rFonts w:ascii="Century Gothic" w:hAnsi="Century Gothic"/>
            <w:sz w:val="20"/>
            <w:szCs w:val="20"/>
          </w:rPr>
          <w:t>Ghu Paris</w:t>
        </w:r>
      </w:hyperlink>
      <w:r w:rsidR="007C2936" w:rsidRPr="009552A9">
        <w:rPr>
          <w:rStyle w:val="Lienhypertexte"/>
          <w:rFonts w:ascii="Century Gothic" w:hAnsi="Century Gothic"/>
          <w:color w:val="555E5E"/>
          <w:sz w:val="20"/>
          <w:szCs w:val="20"/>
        </w:rPr>
        <w:t xml:space="preserve"> / Twitter @GhuParis</w:t>
      </w:r>
    </w:p>
    <w:p w:rsidR="007C2936" w:rsidRPr="007C2936" w:rsidRDefault="0029308E" w:rsidP="008B4822">
      <w:pPr>
        <w:spacing w:after="0" w:line="240" w:lineRule="auto"/>
        <w:jc w:val="both"/>
        <w:rPr>
          <w:rFonts w:ascii="Century Gothic" w:hAnsi="Century Gothic"/>
          <w:color w:val="555E5E"/>
        </w:rPr>
      </w:pPr>
      <w:r w:rsidRPr="007C2936">
        <w:rPr>
          <w:rFonts w:ascii="Century Gothic" w:hAnsi="Century Gothic"/>
          <w:b/>
          <w:color w:val="555E5E"/>
        </w:rPr>
        <w:t>Siège</w:t>
      </w:r>
      <w:r w:rsidRPr="007C2936">
        <w:rPr>
          <w:rFonts w:ascii="Century Gothic" w:hAnsi="Century Gothic"/>
          <w:color w:val="555E5E"/>
        </w:rPr>
        <w:t> : Site Sainte-Anne, 1 rue Cabanis 75014</w:t>
      </w:r>
      <w:r>
        <w:rPr>
          <w:rFonts w:ascii="Century Gothic" w:hAnsi="Century Gothic"/>
          <w:color w:val="555E5E"/>
        </w:rPr>
        <w:t xml:space="preserve"> Paris</w:t>
      </w:r>
    </w:p>
    <w:p w:rsidR="00924BDB" w:rsidRPr="000B2B2E" w:rsidRDefault="00924BDB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8"/>
          <w:szCs w:val="8"/>
          <w:lang w:eastAsia="fr-FR"/>
        </w:rPr>
      </w:pPr>
    </w:p>
    <w:p w:rsidR="00FA7833" w:rsidRDefault="00FA7833" w:rsidP="00BF15B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B67AE3" w:rsidRDefault="0029308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DESCRIPTION DE LA DIRECTION</w:t>
      </w:r>
    </w:p>
    <w:p w:rsidR="00B67AE3" w:rsidRDefault="00B67AE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3E214E" w:rsidRPr="009552A9" w:rsidRDefault="003E214E" w:rsidP="003E214E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La </w:t>
      </w:r>
      <w:r w:rsidR="009552A9"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Direction des Ressources</w:t>
      </w:r>
      <w:r w:rsid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Humaines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assure la gestion des </w:t>
      </w:r>
      <w:r w:rsidR="009552A9"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4800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personnels non médicaux employés par le GHU Paris</w:t>
      </w:r>
      <w:r w:rsid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.</w:t>
      </w:r>
    </w:p>
    <w:p w:rsidR="00E403F3" w:rsidRPr="00E403F3" w:rsidRDefault="009552A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Elle</w:t>
      </w:r>
      <w:r w:rsidR="00E403F3"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est organisée en 3 pôles : </w:t>
      </w:r>
    </w:p>
    <w:p w:rsidR="009552A9" w:rsidRPr="00E403F3" w:rsidRDefault="009552A9" w:rsidP="009552A9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- Pôle carrière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s</w:t>
      </w: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et rémunération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s</w:t>
      </w: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comprenant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3</w:t>
      </w: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secteurs (affaires générales,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gestion des carrières, paie</w:t>
      </w:r>
      <w:r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) </w:t>
      </w:r>
    </w:p>
    <w:p w:rsidR="00E403F3" w:rsidRPr="00E403F3" w:rsidRDefault="00E0347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-</w:t>
      </w:r>
      <w:r w:rsidR="00E403F3"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Pôle développement des RH comprenant 5 secteurs (protection sociale, mobilité, contrôle de gestion, GTT, SIRH) </w:t>
      </w:r>
    </w:p>
    <w:p w:rsidR="00E403F3" w:rsidRPr="00E403F3" w:rsidRDefault="00E0347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- Pôle santé, social</w:t>
      </w:r>
      <w:r w:rsidR="00E403F3"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et prévention </w:t>
      </w:r>
    </w:p>
    <w:p w:rsidR="00E403F3" w:rsidRP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E403F3" w:rsidRPr="00E403F3" w:rsidRDefault="003E214E" w:rsidP="003E214E">
      <w:pPr>
        <w:tabs>
          <w:tab w:val="left" w:pos="3090"/>
        </w:tabs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ab/>
      </w:r>
    </w:p>
    <w:p w:rsidR="00B67AE3" w:rsidRDefault="0029308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DESCRIPTION DU POSTE</w:t>
      </w:r>
    </w:p>
    <w:p w:rsid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9552A9" w:rsidRDefault="009552A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Le R</w:t>
      </w:r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esponsable Carrières et Concours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travaille au sein du pôle C</w:t>
      </w:r>
      <w:r w:rsidR="00E403F3"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arrière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s et R</w:t>
      </w:r>
      <w:r w:rsidR="00E403F3"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émunération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s,</w:t>
      </w:r>
      <w:r w:rsidR="00E403F3" w:rsidRPr="00E403F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sous l’autorité d’un attaché d’administration hospitalière et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d’un directeur des ressources humaines adjoint.</w:t>
      </w:r>
    </w:p>
    <w:p w:rsidR="009552A9" w:rsidRDefault="009552A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Cadre RH référent </w:t>
      </w:r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de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plusieurs </w:t>
      </w:r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pôles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soignants et services supports</w:t>
      </w:r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de l’établissement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, il est en charge, avec son équipe de 6 gestionnaires Carrières, de la gestion administrative et statutaire de plus de 1600</w:t>
      </w:r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agents.</w:t>
      </w:r>
    </w:p>
    <w:p w:rsidR="00E403F3" w:rsidRDefault="009552A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lastRenderedPageBreak/>
        <w:t>Le re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sponsable Carrières et Concours exerce ses missions au sein d’</w:t>
      </w:r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une équipe d’encadrement expér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imentée, dynamique et solidaire et travaille en collaboration avec notamment les deux adjoints des cadres en charge de la gestion des carrières des autres pôles du GHU Paris.</w:t>
      </w:r>
    </w:p>
    <w:p w:rsidR="0065778C" w:rsidRDefault="0065778C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E775A0" w:rsidRDefault="00E775A0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F77874" w:rsidRDefault="0029308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5D2CB9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MISSIONS</w:t>
      </w:r>
    </w:p>
    <w:p w:rsidR="00E403F3" w:rsidRDefault="00E403F3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9552A9" w:rsidRDefault="003E214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Mission générale : </w:t>
      </w:r>
    </w:p>
    <w:p w:rsidR="003E214E" w:rsidRPr="009552A9" w:rsidRDefault="003E214E" w:rsidP="009552A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Assurer, en collaboration avec l</w:t>
      </w:r>
      <w:r w:rsidR="009552A9"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e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responsable du pôle </w:t>
      </w:r>
      <w:r w:rsidR="009552A9"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arrières et </w:t>
      </w:r>
      <w:r w:rsidR="009552A9"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R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émunérations, </w:t>
      </w:r>
      <w:r w:rsidR="009552A9"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la gestion administrative et statutaire du personnelle, dans le respect de la réglementation 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et des procédures institutionnelles</w:t>
      </w:r>
    </w:p>
    <w:p w:rsidR="003E214E" w:rsidRPr="009552A9" w:rsidRDefault="009552A9" w:rsidP="009552A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Coor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donner le 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travail des gestionnaires</w:t>
      </w:r>
    </w:p>
    <w:p w:rsidR="0065778C" w:rsidRPr="009552A9" w:rsidRDefault="009552A9" w:rsidP="009552A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Participer aux projets de la DRH</w:t>
      </w:r>
    </w:p>
    <w:p w:rsidR="003E214E" w:rsidRPr="009552A9" w:rsidRDefault="003E214E" w:rsidP="00CF1CC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5778C" w:rsidRDefault="0065778C" w:rsidP="00CF1CC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E214E" w:rsidRDefault="00E775A0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Missions principales</w:t>
      </w:r>
      <w:r w:rsidR="0065778C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 :</w:t>
      </w:r>
    </w:p>
    <w:p w:rsidR="0065778C" w:rsidRDefault="0065778C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65778C" w:rsidRPr="0065778C" w:rsidRDefault="0065778C" w:rsidP="0065778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>Encadrement</w:t>
      </w:r>
    </w:p>
    <w:p w:rsidR="00E775A0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Encadrement et animation d’une équipe de 6 gestionnaires</w:t>
      </w:r>
    </w:p>
    <w:p w:rsidR="009552A9" w:rsidRPr="009552A9" w:rsidRDefault="0065778C" w:rsidP="005B560E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Contrôle interne de supervision</w:t>
      </w:r>
      <w:r w:rsidR="009552A9"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(contrats de travail, décisions, </w:t>
      </w:r>
      <w:r w:rsid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mouvements du personnel, </w:t>
      </w:r>
      <w:r w:rsidR="009552A9"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positions statutaires, absentéisme, etc.)</w:t>
      </w:r>
    </w:p>
    <w:p w:rsidR="009552A9" w:rsidRPr="0065778C" w:rsidRDefault="009552A9" w:rsidP="0065778C">
      <w:pPr>
        <w:spacing w:after="0" w:line="240" w:lineRule="auto"/>
        <w:ind w:left="720"/>
        <w:jc w:val="both"/>
        <w:rPr>
          <w:szCs w:val="24"/>
        </w:rPr>
      </w:pPr>
    </w:p>
    <w:p w:rsidR="0065778C" w:rsidRPr="0065778C" w:rsidRDefault="0065778C" w:rsidP="0065778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>Gestion des carrières</w:t>
      </w:r>
    </w:p>
    <w:p w:rsidR="0065778C" w:rsidRPr="0065778C" w:rsidRDefault="009552A9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I</w:t>
      </w:r>
      <w:r w:rsidR="0065778C"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nformation et conseil auprès des agents sur les éléments complexes ayant trait à leur dossier individuel </w:t>
      </w:r>
    </w:p>
    <w:p w:rsidR="0065778C" w:rsidRPr="0065778C" w:rsidRDefault="009552A9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T</w:t>
      </w:r>
      <w:r w:rsidR="0065778C"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raitement des revalorisations de rémunération des agents contractuels</w:t>
      </w:r>
    </w:p>
    <w:p w:rsidR="0065778C" w:rsidRPr="0065778C" w:rsidRDefault="009552A9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</w:t>
      </w:r>
      <w:r w:rsidR="0065778C"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ontrôle des reprises d’ancienneté et d’antériorité</w:t>
      </w:r>
    </w:p>
    <w:p w:rsidR="0065778C" w:rsidRPr="0065778C" w:rsidRDefault="009552A9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M</w:t>
      </w:r>
      <w:r w:rsidR="0065778C"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ise en œuvre des évolutions réglementaires statutaires</w:t>
      </w:r>
    </w:p>
    <w:p w:rsidR="00E775A0" w:rsidRDefault="00E775A0" w:rsidP="00CF1CC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5778C" w:rsidRPr="0065778C" w:rsidRDefault="0065778C" w:rsidP="0065778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 xml:space="preserve">Gestion des concours : </w:t>
      </w:r>
    </w:p>
    <w:p w:rsidR="0065778C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Préparation de l’état des besoins </w:t>
      </w:r>
    </w:p>
    <w:p w:rsidR="0065778C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Elaboration du calendrier annuel des concours et du rétro planning pour chaque concours</w:t>
      </w:r>
    </w:p>
    <w:p w:rsidR="0065778C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Coordination de l’organisation matérielle des concours</w:t>
      </w:r>
    </w:p>
    <w:p w:rsidR="0065778C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Coordination de la recherche des membres jury</w:t>
      </w:r>
    </w:p>
    <w:p w:rsidR="0065778C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Elaboration des pièces administratives (publications, correspondances, procès-verbaux, etc.) </w:t>
      </w:r>
    </w:p>
    <w:p w:rsidR="0065778C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Suivi des mises en stage et nominations suite aux résultats des concours</w:t>
      </w:r>
    </w:p>
    <w:p w:rsidR="0065778C" w:rsidRDefault="0065778C" w:rsidP="0065778C">
      <w:pPr>
        <w:spacing w:after="0" w:line="240" w:lineRule="auto"/>
        <w:jc w:val="both"/>
        <w:rPr>
          <w:szCs w:val="24"/>
        </w:rPr>
      </w:pPr>
    </w:p>
    <w:p w:rsidR="009552A9" w:rsidRDefault="009552A9" w:rsidP="009552A9">
      <w:pPr>
        <w:pStyle w:val="Paragraphedeliste"/>
        <w:keepNext/>
        <w:numPr>
          <w:ilvl w:val="0"/>
          <w:numId w:val="15"/>
        </w:numPr>
        <w:spacing w:after="0" w:line="240" w:lineRule="auto"/>
        <w:ind w:hanging="357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>Evaluations</w:t>
      </w:r>
    </w:p>
    <w:p w:rsidR="009552A9" w:rsidRPr="009552A9" w:rsidRDefault="009552A9" w:rsidP="009552A9">
      <w:pPr>
        <w:pStyle w:val="Paragraphedeliste"/>
        <w:keepNext/>
        <w:numPr>
          <w:ilvl w:val="0"/>
          <w:numId w:val="16"/>
        </w:numPr>
        <w:spacing w:after="0" w:line="240" w:lineRule="auto"/>
        <w:ind w:hanging="357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oordination de la campagne annuelle d’évaluation – notation</w:t>
      </w:r>
    </w:p>
    <w:p w:rsidR="009552A9" w:rsidRPr="009552A9" w:rsidRDefault="009552A9" w:rsidP="009552A9">
      <w:pPr>
        <w:pStyle w:val="Paragraphedeliste"/>
        <w:keepNext/>
        <w:numPr>
          <w:ilvl w:val="0"/>
          <w:numId w:val="16"/>
        </w:numPr>
        <w:spacing w:after="0" w:line="240" w:lineRule="auto"/>
        <w:ind w:hanging="357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Mise en œuvre du nouveau dispositif d’entretiens professionnels annuels</w:t>
      </w:r>
    </w:p>
    <w:p w:rsidR="009552A9" w:rsidRDefault="009552A9" w:rsidP="0065778C">
      <w:pPr>
        <w:spacing w:after="0" w:line="240" w:lineRule="auto"/>
        <w:jc w:val="both"/>
        <w:rPr>
          <w:szCs w:val="24"/>
        </w:rPr>
      </w:pPr>
    </w:p>
    <w:p w:rsidR="0065778C" w:rsidRPr="0065778C" w:rsidRDefault="0065778C" w:rsidP="009552A9">
      <w:pPr>
        <w:pStyle w:val="Paragraphedeliste"/>
        <w:keepNext/>
        <w:numPr>
          <w:ilvl w:val="0"/>
          <w:numId w:val="15"/>
        </w:numPr>
        <w:spacing w:after="0" w:line="240" w:lineRule="auto"/>
        <w:ind w:hanging="357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>Congés bonifiés</w:t>
      </w:r>
    </w:p>
    <w:p w:rsidR="00E775A0" w:rsidRPr="009552A9" w:rsidRDefault="009552A9" w:rsidP="009552A9">
      <w:pPr>
        <w:pStyle w:val="Paragraphedeliste"/>
        <w:keepNext/>
        <w:numPr>
          <w:ilvl w:val="0"/>
          <w:numId w:val="16"/>
        </w:numPr>
        <w:spacing w:after="0" w:line="240" w:lineRule="auto"/>
        <w:ind w:hanging="357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oordination de la campagne annuelle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des congés bonifiés</w:t>
      </w:r>
    </w:p>
    <w:p w:rsidR="0065778C" w:rsidRPr="009552A9" w:rsidRDefault="009552A9" w:rsidP="009552A9">
      <w:pPr>
        <w:pStyle w:val="Paragraphedeliste"/>
        <w:keepNext/>
        <w:numPr>
          <w:ilvl w:val="0"/>
          <w:numId w:val="16"/>
        </w:numPr>
        <w:spacing w:after="0" w:line="240" w:lineRule="auto"/>
        <w:ind w:hanging="357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Etude des droits</w:t>
      </w:r>
    </w:p>
    <w:p w:rsidR="009552A9" w:rsidRDefault="009552A9" w:rsidP="00CF1CCC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775A0" w:rsidRPr="0065778C" w:rsidRDefault="00E775A0" w:rsidP="0065778C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lastRenderedPageBreak/>
        <w:t>Divers</w:t>
      </w:r>
    </w:p>
    <w:p w:rsidR="0065778C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Rédaction de notes et courriers administratifs</w:t>
      </w:r>
    </w:p>
    <w:p w:rsidR="00E775A0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Participation</w:t>
      </w:r>
      <w:r w:rsidR="00E775A0"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à l’amélioration et l’automatisation du traitement des dossiers ainsi qu’à l’élaboration et la mise à jour des procédures de gestion</w:t>
      </w:r>
    </w:p>
    <w:p w:rsidR="00E775A0" w:rsidRPr="0065778C" w:rsidRDefault="009552A9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Suivi </w:t>
      </w:r>
      <w:r w:rsidR="00E775A0"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et analyse des évolutions de la réglementation statutaire</w:t>
      </w:r>
    </w:p>
    <w:p w:rsidR="00E775A0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Conception</w:t>
      </w:r>
      <w:r w:rsidR="00E775A0"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et mise à jour </w:t>
      </w: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de tableaux de bord et </w:t>
      </w:r>
      <w:r w:rsidR="00E775A0"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d’outils informatisés destinés à optimiser et contrôler les éléments saisis dans le SIRH</w:t>
      </w:r>
    </w:p>
    <w:p w:rsidR="00E775A0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Participation</w:t>
      </w:r>
      <w:r w:rsidR="00E775A0"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au dossier de certification des comptes (cycle RH)</w:t>
      </w:r>
    </w:p>
    <w:p w:rsidR="00E775A0" w:rsidRPr="0065778C" w:rsidRDefault="0065778C" w:rsidP="0065778C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Participation</w:t>
      </w:r>
      <w:r w:rsidR="00E775A0" w:rsidRPr="0065778C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au projet de dématérialisation de la GRH</w:t>
      </w:r>
    </w:p>
    <w:p w:rsidR="003E214E" w:rsidRDefault="003E214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9552A9" w:rsidRDefault="009552A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B67AE3" w:rsidRDefault="0029308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 w:rsidRPr="00B67AE3"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 xml:space="preserve">PROFIL </w:t>
      </w:r>
    </w:p>
    <w:p w:rsidR="009552A9" w:rsidRDefault="009552A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</w:p>
    <w:p w:rsidR="009552A9" w:rsidRPr="009552A9" w:rsidRDefault="009552A9" w:rsidP="009552A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>Connaissances professionnelles</w:t>
      </w:r>
    </w:p>
    <w:p w:rsidR="009552A9" w:rsidRPr="009552A9" w:rsidRDefault="009552A9" w:rsidP="009552A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Maîtrise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des statuts, règlements et procédures de gestion des personnels de la fonction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publique hospitalière</w:t>
      </w:r>
    </w:p>
    <w:p w:rsidR="009552A9" w:rsidRPr="009552A9" w:rsidRDefault="00CF1CCC" w:rsidP="009552A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Maîtrise des outils informatiques</w:t>
      </w:r>
      <w:r w:rsid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 : </w:t>
      </w:r>
      <w:r w:rsidR="009552A9"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pack Office </w:t>
      </w:r>
      <w:r w:rsid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(</w:t>
      </w:r>
      <w:r w:rsidR="009552A9"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n</w:t>
      </w:r>
      <w:r w:rsid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otamment Excel, Business Object), </w:t>
      </w:r>
      <w:r w:rsidR="009552A9"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logiciel dédié à la gestion administrative hospitalière (AGIRH Noyau et E-planning, GEF)</w:t>
      </w:r>
    </w:p>
    <w:p w:rsidR="00CF1CCC" w:rsidRDefault="009552A9" w:rsidP="009552A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Connaissance du f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onctionnement d’un établissement public de santé</w:t>
      </w:r>
    </w:p>
    <w:p w:rsidR="009552A9" w:rsidRDefault="009552A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9552A9" w:rsidRPr="009552A9" w:rsidRDefault="009552A9" w:rsidP="009552A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>Expériences professionnelles</w:t>
      </w:r>
    </w:p>
    <w:p w:rsidR="009552A9" w:rsidRDefault="009552A9" w:rsidP="009552A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Une expérience professionnelle en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GRH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d’un établissement public de santé et en encadrement d’équipe serait hautement appréciée</w:t>
      </w:r>
    </w:p>
    <w:p w:rsidR="009552A9" w:rsidRDefault="009552A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9552A9" w:rsidRPr="009552A9" w:rsidRDefault="009552A9" w:rsidP="009552A9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>Ap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u w:val="single"/>
          <w:lang w:eastAsia="fr-FR"/>
        </w:rPr>
        <w:t>titudes et savoir-faire requis</w:t>
      </w:r>
    </w:p>
    <w:p w:rsidR="009552A9" w:rsidRPr="009552A9" w:rsidRDefault="009552A9" w:rsidP="009552A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Sens de l’organisation et capacité à </w:t>
      </w: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anticiper et à 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gérer par priorités</w:t>
      </w:r>
    </w:p>
    <w:p w:rsidR="009552A9" w:rsidRPr="009552A9" w:rsidRDefault="009552A9" w:rsidP="009552A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Rigueur professionnelle</w:t>
      </w:r>
    </w:p>
    <w:p w:rsidR="009552A9" w:rsidRPr="009552A9" w:rsidRDefault="009552A9" w:rsidP="009552A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Goût pour la relation humaine et diplomatie</w:t>
      </w:r>
    </w:p>
    <w:p w:rsidR="009552A9" w:rsidRDefault="009552A9" w:rsidP="009552A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Disponibilité, a</w:t>
      </w: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utonomie et goût du travail en équipe</w:t>
      </w:r>
    </w:p>
    <w:p w:rsidR="009552A9" w:rsidRPr="009552A9" w:rsidRDefault="009552A9" w:rsidP="009552A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Discrétion professionnelle</w:t>
      </w:r>
    </w:p>
    <w:p w:rsidR="009552A9" w:rsidRPr="009552A9" w:rsidRDefault="009552A9" w:rsidP="009552A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Force de propositions</w:t>
      </w:r>
    </w:p>
    <w:p w:rsidR="009552A9" w:rsidRPr="009552A9" w:rsidRDefault="009552A9" w:rsidP="009552A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9552A9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Capacités rédactionnelles, d'analyse et de synthèse</w:t>
      </w:r>
    </w:p>
    <w:p w:rsidR="009552A9" w:rsidRDefault="009552A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</w:p>
    <w:p w:rsidR="009552A9" w:rsidRDefault="009552A9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DF016A" w:rsidRDefault="0029308E" w:rsidP="00CF1CC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8080"/>
          <w:sz w:val="20"/>
          <w:szCs w:val="20"/>
          <w:lang w:eastAsia="fr-FR"/>
        </w:rPr>
        <w:t>CONTACT</w:t>
      </w:r>
    </w:p>
    <w:p w:rsidR="00E03473" w:rsidRPr="00E03473" w:rsidRDefault="00E03473" w:rsidP="00DF016A">
      <w:pPr>
        <w:spacing w:after="0" w:line="240" w:lineRule="auto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Laurence Legallois Noviant </w:t>
      </w:r>
    </w:p>
    <w:p w:rsidR="00E03473" w:rsidRPr="00E03473" w:rsidRDefault="00E03473" w:rsidP="00DF016A">
      <w:pPr>
        <w:spacing w:after="0" w:line="240" w:lineRule="auto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>Adjoint au DRH - Responsable du pôle Carrières et Rémunérations</w:t>
      </w:r>
    </w:p>
    <w:p w:rsidR="00CF1CCC" w:rsidRPr="00E03473" w:rsidRDefault="00E03473" w:rsidP="00DF016A">
      <w:pPr>
        <w:spacing w:after="0" w:line="240" w:lineRule="auto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Adresse mail : </w:t>
      </w:r>
      <w:hyperlink r:id="rId14" w:history="1">
        <w:r w:rsidRPr="00E03473">
          <w:rPr>
            <w:rFonts w:ascii="Century Gothic" w:eastAsia="Times New Roman" w:hAnsi="Century Gothic" w:cs="Times New Roman"/>
            <w:bCs/>
            <w:color w:val="2F5496" w:themeColor="accent5" w:themeShade="BF"/>
            <w:sz w:val="20"/>
            <w:szCs w:val="20"/>
            <w:u w:val="single"/>
            <w:lang w:eastAsia="fr-FR"/>
          </w:rPr>
          <w:t>m.letellier@ghu-paris.fr</w:t>
        </w:r>
      </w:hyperlink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 ; </w:t>
      </w:r>
      <w:hyperlink r:id="rId15" w:history="1">
        <w:r w:rsidRPr="00E03473">
          <w:rPr>
            <w:rFonts w:ascii="Century Gothic" w:eastAsia="Times New Roman" w:hAnsi="Century Gothic" w:cs="Times New Roman"/>
            <w:bCs/>
            <w:color w:val="2F5496" w:themeColor="accent5" w:themeShade="BF"/>
            <w:sz w:val="20"/>
            <w:szCs w:val="20"/>
            <w:u w:val="single"/>
            <w:lang w:eastAsia="fr-FR"/>
          </w:rPr>
          <w:t>drh@ghu-paris.fr</w:t>
        </w:r>
      </w:hyperlink>
      <w:r w:rsidRPr="00E03473">
        <w:rPr>
          <w:rFonts w:ascii="Century Gothic" w:eastAsia="Times New Roman" w:hAnsi="Century Gothic" w:cs="Times New Roman"/>
          <w:bCs/>
          <w:color w:val="2F5496" w:themeColor="accent5" w:themeShade="BF"/>
          <w:sz w:val="20"/>
          <w:szCs w:val="20"/>
          <w:lang w:eastAsia="fr-FR"/>
        </w:rPr>
        <w:t xml:space="preserve"> </w:t>
      </w:r>
    </w:p>
    <w:p w:rsidR="00E03473" w:rsidRPr="00E03473" w:rsidRDefault="00E03473" w:rsidP="00DF016A">
      <w:pPr>
        <w:spacing w:after="0" w:line="240" w:lineRule="auto"/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</w:pPr>
      <w:r w:rsidRPr="00E03473">
        <w:rPr>
          <w:rFonts w:ascii="Century Gothic" w:eastAsia="Times New Roman" w:hAnsi="Century Gothic" w:cs="Times New Roman"/>
          <w:bCs/>
          <w:color w:val="008080"/>
          <w:sz w:val="20"/>
          <w:szCs w:val="20"/>
          <w:lang w:eastAsia="fr-FR"/>
        </w:rPr>
        <w:t xml:space="preserve">Tel : </w:t>
      </w:r>
    </w:p>
    <w:p w:rsidR="000B2B2E" w:rsidRDefault="000B2B2E" w:rsidP="009E6C85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1E1D93" w:rsidRPr="000B2B2E" w:rsidRDefault="0029308E" w:rsidP="001E1D93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fr-FR"/>
        </w:rPr>
      </w:pPr>
      <w:r w:rsidRPr="000B2B2E">
        <w:rPr>
          <w:rFonts w:ascii="Century Gothic" w:eastAsia="Times New Roman" w:hAnsi="Century Gothic" w:cs="Times New Roman"/>
          <w:sz w:val="18"/>
          <w:szCs w:val="18"/>
          <w:lang w:eastAsia="fr-FR"/>
        </w:rPr>
        <w:t xml:space="preserve"> </w:t>
      </w:r>
    </w:p>
    <w:sectPr w:rsidR="001E1D93" w:rsidRPr="000B2B2E" w:rsidSect="003E214E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B4" w:rsidRDefault="00F52AB4">
      <w:pPr>
        <w:spacing w:after="0" w:line="240" w:lineRule="auto"/>
      </w:pPr>
      <w:r>
        <w:separator/>
      </w:r>
    </w:p>
  </w:endnote>
  <w:endnote w:type="continuationSeparator" w:id="0">
    <w:p w:rsidR="00F52AB4" w:rsidRDefault="00F5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C0" w:rsidRDefault="0065778C" w:rsidP="00A725C0">
    <w:pPr>
      <w:pStyle w:val="Pieddepage"/>
    </w:pPr>
    <w:r w:rsidRPr="00300417">
      <w:rPr>
        <w:rFonts w:ascii="Century Gothic" w:hAnsi="Century Gothic"/>
        <w:b/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6699584" cy="247650"/>
          <wp:effectExtent l="0" t="0" r="6350" b="0"/>
          <wp:wrapSquare wrapText="bothSides"/>
          <wp:docPr id="150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5114242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584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08E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314325</wp:posOffset>
          </wp:positionV>
          <wp:extent cx="6405843" cy="1057275"/>
          <wp:effectExtent l="0" t="0" r="0" b="0"/>
          <wp:wrapSquare wrapText="bothSides"/>
          <wp:docPr id="149" name="Imag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44042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9" t="45698" r="54200" b="37227"/>
                  <a:stretch>
                    <a:fillRect/>
                  </a:stretch>
                </pic:blipFill>
                <pic:spPr bwMode="auto">
                  <a:xfrm>
                    <a:off x="0" y="0"/>
                    <a:ext cx="6405843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5C0" w:rsidRDefault="00A725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B4" w:rsidRDefault="00F52AB4">
      <w:pPr>
        <w:spacing w:after="0" w:line="240" w:lineRule="auto"/>
      </w:pPr>
      <w:r>
        <w:separator/>
      </w:r>
    </w:p>
  </w:footnote>
  <w:footnote w:type="continuationSeparator" w:id="0">
    <w:p w:rsidR="00F52AB4" w:rsidRDefault="00F5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31" w:rsidRDefault="00F52AB4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FiligraneQN" o:spid="_x0000_s3073" type="#_x0000_t136" style="position:absolute;margin-left:0;margin-top:0;width:750pt;height:50pt;rotation:-45;z-index:-251658240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2"/>
      <w:gridCol w:w="5209"/>
      <w:gridCol w:w="3154"/>
    </w:tblGrid>
    <w:tr w:rsidR="00F81936" w:rsidTr="00D15B31">
      <w:trPr>
        <w:trHeight w:val="142"/>
        <w:jc w:val="center"/>
      </w:trPr>
      <w:tc>
        <w:tcPr>
          <w:tcW w:w="1012" w:type="pct"/>
          <w:vMerge w:val="restart"/>
          <w:shd w:val="clear" w:color="auto" w:fill="auto"/>
          <w:vAlign w:val="center"/>
        </w:tcPr>
        <w:p w:rsidR="00E56252" w:rsidRPr="00FE6255" w:rsidRDefault="0029308E" w:rsidP="00E56252">
          <w:pPr>
            <w:pStyle w:val="En-tte"/>
            <w:jc w:val="center"/>
            <w:rPr>
              <w:rFonts w:ascii="Century Gothic" w:hAnsi="Century Gothic"/>
            </w:rPr>
          </w:pPr>
          <w:r w:rsidRPr="00FE6255">
            <w:rPr>
              <w:rFonts w:ascii="Century Gothic" w:hAnsi="Century Gothic" w:cs="Arial"/>
              <w:noProof/>
              <w:color w:val="444446"/>
              <w:sz w:val="20"/>
              <w:szCs w:val="20"/>
              <w:lang w:eastAsia="fr-FR"/>
            </w:rPr>
            <w:drawing>
              <wp:inline distT="0" distB="0" distL="0" distR="0">
                <wp:extent cx="1136650" cy="313055"/>
                <wp:effectExtent l="0" t="0" r="6350" b="0"/>
                <wp:docPr id="148" name="Image 148" descr="logo-ghu-cmj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5962239" name="Picture 1" descr="logo-ghu-cmj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4" w:type="pct"/>
          <w:vMerge w:val="restart"/>
          <w:shd w:val="clear" w:color="auto" w:fill="auto"/>
          <w:vAlign w:val="center"/>
        </w:tcPr>
        <w:p w:rsidR="00E56252" w:rsidRPr="00FE6255" w:rsidRDefault="003E214E" w:rsidP="00E56252">
          <w:pPr>
            <w:pStyle w:val="En-tte"/>
            <w:jc w:val="center"/>
            <w:rPr>
              <w:rFonts w:ascii="Century Gothic" w:hAnsi="Century Gothic"/>
              <w:b/>
              <w:smallCaps/>
              <w:sz w:val="28"/>
            </w:rPr>
          </w:pPr>
          <w:r>
            <w:rPr>
              <w:rFonts w:ascii="Century Gothic" w:hAnsi="Century Gothic"/>
              <w:b/>
              <w:smallCaps/>
              <w:sz w:val="28"/>
            </w:rPr>
            <w:t>F</w:t>
          </w:r>
          <w:r w:rsidR="0029308E">
            <w:rPr>
              <w:rFonts w:ascii="Century Gothic" w:hAnsi="Century Gothic"/>
              <w:b/>
              <w:smallCaps/>
              <w:sz w:val="28"/>
            </w:rPr>
            <w:t>iche de poste</w:t>
          </w:r>
        </w:p>
      </w:tc>
      <w:tc>
        <w:tcPr>
          <w:tcW w:w="1504" w:type="pct"/>
          <w:shd w:val="clear" w:color="auto" w:fill="auto"/>
        </w:tcPr>
        <w:p w:rsidR="00E56252" w:rsidRPr="00FE6255" w:rsidRDefault="0029308E" w:rsidP="00E5625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>REFERENCE Formulaire :</w:t>
          </w:r>
        </w:p>
        <w:p w:rsidR="00E56252" w:rsidRPr="00FE6255" w:rsidRDefault="0029308E" w:rsidP="00E56252">
          <w:pPr>
            <w:pStyle w:val="En-tte"/>
            <w:jc w:val="center"/>
            <w:rPr>
              <w:rFonts w:ascii="Century Gothic" w:hAnsi="Century Gothic"/>
              <w:i/>
              <w:sz w:val="18"/>
              <w:szCs w:val="18"/>
              <w:lang w:val="en-US"/>
            </w:rPr>
          </w:pPr>
          <w:r w:rsidRPr="00FE6255">
            <w:rPr>
              <w:rFonts w:ascii="Century Gothic" w:hAnsi="Century Gothic"/>
              <w:i/>
              <w:sz w:val="16"/>
              <w:szCs w:val="18"/>
              <w:lang w:val="en-US"/>
            </w:rPr>
            <w:t>GHU-MGT-GRH-FOR-087</w:t>
          </w:r>
        </w:p>
      </w:tc>
    </w:tr>
    <w:tr w:rsidR="00F81936" w:rsidTr="00D15B31">
      <w:trPr>
        <w:trHeight w:val="141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</w:tcPr>
        <w:p w:rsidR="00E56252" w:rsidRPr="00FE6255" w:rsidRDefault="0029308E" w:rsidP="00E5625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>GHU</w:t>
          </w:r>
        </w:p>
      </w:tc>
    </w:tr>
    <w:tr w:rsidR="00F81936" w:rsidTr="00D15B31">
      <w:trPr>
        <w:trHeight w:val="70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</w:tcPr>
        <w:p w:rsidR="00E56252" w:rsidRPr="00FE6255" w:rsidRDefault="0029308E" w:rsidP="00E56252">
          <w:pPr>
            <w:pStyle w:val="En-tte"/>
            <w:rPr>
              <w:rFonts w:ascii="Century Gothic" w:hAnsi="Century Gothic"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 xml:space="preserve">VERSION : </w:t>
          </w:r>
          <w:r w:rsidRPr="00FE6255">
            <w:rPr>
              <w:rFonts w:ascii="Century Gothic" w:hAnsi="Century Gothic"/>
              <w:sz w:val="16"/>
              <w:szCs w:val="18"/>
              <w:lang w:val="en-US"/>
            </w:rPr>
            <w:t>4</w:t>
          </w:r>
        </w:p>
      </w:tc>
    </w:tr>
    <w:tr w:rsidR="00F81936" w:rsidTr="00D15B31">
      <w:trPr>
        <w:trHeight w:val="130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  <w:vAlign w:val="center"/>
        </w:tcPr>
        <w:p w:rsidR="00E56252" w:rsidRPr="00FE6255" w:rsidRDefault="0029308E" w:rsidP="00E56252">
          <w:pPr>
            <w:pStyle w:val="En-tte"/>
            <w:rPr>
              <w:rFonts w:ascii="Century Gothic" w:hAnsi="Century Gothic"/>
              <w:b/>
              <w:sz w:val="16"/>
              <w:szCs w:val="18"/>
              <w:lang w:val="en-US"/>
            </w:rPr>
          </w:pPr>
          <w:r w:rsidRPr="00FE6255">
            <w:rPr>
              <w:rFonts w:ascii="Century Gothic" w:hAnsi="Century Gothic"/>
              <w:b/>
              <w:sz w:val="16"/>
              <w:szCs w:val="18"/>
              <w:lang w:val="en-US"/>
            </w:rPr>
            <w:t xml:space="preserve">DATE D’APPLICATION : </w:t>
          </w:r>
          <w:r w:rsidRPr="00FE6255">
            <w:rPr>
              <w:rFonts w:ascii="Century Gothic" w:hAnsi="Century Gothic"/>
              <w:sz w:val="16"/>
              <w:szCs w:val="18"/>
              <w:lang w:val="en-US"/>
            </w:rPr>
            <w:t>15/06/2020</w:t>
          </w:r>
        </w:p>
      </w:tc>
    </w:tr>
    <w:tr w:rsidR="00F81936" w:rsidTr="00D15B31">
      <w:trPr>
        <w:trHeight w:val="41"/>
        <w:jc w:val="center"/>
      </w:trPr>
      <w:tc>
        <w:tcPr>
          <w:tcW w:w="1012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 w:cs="Arial"/>
              <w:color w:val="444446"/>
              <w:sz w:val="20"/>
              <w:szCs w:val="20"/>
            </w:rPr>
          </w:pPr>
        </w:p>
      </w:tc>
      <w:tc>
        <w:tcPr>
          <w:tcW w:w="2484" w:type="pct"/>
          <w:vMerge/>
          <w:shd w:val="clear" w:color="auto" w:fill="auto"/>
          <w:vAlign w:val="center"/>
        </w:tcPr>
        <w:p w:rsidR="00E56252" w:rsidRPr="00FE6255" w:rsidRDefault="00E56252" w:rsidP="00E56252">
          <w:pPr>
            <w:pStyle w:val="En-tte"/>
            <w:jc w:val="center"/>
            <w:rPr>
              <w:rFonts w:ascii="Century Gothic" w:hAnsi="Century Gothic"/>
              <w:b/>
              <w:sz w:val="28"/>
            </w:rPr>
          </w:pPr>
        </w:p>
      </w:tc>
      <w:tc>
        <w:tcPr>
          <w:tcW w:w="1504" w:type="pct"/>
          <w:shd w:val="clear" w:color="auto" w:fill="auto"/>
          <w:vAlign w:val="center"/>
        </w:tcPr>
        <w:p w:rsidR="00E56252" w:rsidRPr="00FE6255" w:rsidRDefault="0029308E" w:rsidP="00E56252">
          <w:pPr>
            <w:pStyle w:val="En-tte"/>
            <w:jc w:val="center"/>
            <w:rPr>
              <w:rFonts w:ascii="Century Gothic" w:hAnsi="Century Gothic"/>
              <w:sz w:val="18"/>
              <w:szCs w:val="18"/>
            </w:rPr>
          </w:pPr>
          <w:r w:rsidRPr="00FE6255">
            <w:rPr>
              <w:rFonts w:ascii="Century Gothic" w:hAnsi="Century Gothic"/>
              <w:sz w:val="18"/>
              <w:szCs w:val="18"/>
            </w:rPr>
            <w:t xml:space="preserve">Page 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E6255">
            <w:rPr>
              <w:rFonts w:ascii="Century Gothic" w:hAnsi="Century Gothic"/>
              <w:b/>
              <w:sz w:val="18"/>
              <w:szCs w:val="18"/>
            </w:rPr>
            <w:instrText>PAGE  \* Arabic  \* MERGEFORMAT</w:instrTex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 w:rsidR="00E12F8A">
            <w:rPr>
              <w:rFonts w:ascii="Century Gothic" w:hAnsi="Century Gothic"/>
              <w:b/>
              <w:noProof/>
              <w:sz w:val="18"/>
              <w:szCs w:val="18"/>
            </w:rPr>
            <w:t>2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end"/>
          </w:r>
          <w:r w:rsidRPr="00FE6255">
            <w:rPr>
              <w:rFonts w:ascii="Century Gothic" w:hAnsi="Century Gothic"/>
              <w:sz w:val="18"/>
              <w:szCs w:val="18"/>
            </w:rPr>
            <w:t xml:space="preserve"> sur 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begin"/>
          </w:r>
          <w:r w:rsidRPr="00FE6255">
            <w:rPr>
              <w:rFonts w:ascii="Century Gothic" w:hAnsi="Century Gothic"/>
              <w:b/>
              <w:sz w:val="18"/>
              <w:szCs w:val="18"/>
            </w:rPr>
            <w:instrText>NUMPAGES  \* Arabic  \* MERGEFORMAT</w:instrTex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separate"/>
          </w:r>
          <w:r w:rsidR="00E12F8A">
            <w:rPr>
              <w:rFonts w:ascii="Century Gothic" w:hAnsi="Century Gothic"/>
              <w:b/>
              <w:noProof/>
              <w:sz w:val="18"/>
              <w:szCs w:val="18"/>
            </w:rPr>
            <w:t>3</w:t>
          </w:r>
          <w:r w:rsidRPr="00FE6255">
            <w:rPr>
              <w:rFonts w:ascii="Century Gothic" w:hAnsi="Century Gothic"/>
              <w:b/>
              <w:sz w:val="18"/>
              <w:szCs w:val="18"/>
            </w:rPr>
            <w:fldChar w:fldCharType="end"/>
          </w:r>
        </w:p>
      </w:tc>
    </w:tr>
  </w:tbl>
  <w:p w:rsidR="00E56252" w:rsidRDefault="00F52AB4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margin-left:0;margin-top:0;width:750pt;height:50pt;rotation:-45;z-index:-251657216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31" w:rsidRDefault="00F52AB4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style="position:absolute;margin-left:0;margin-top:0;width:750pt;height:50pt;rotation:-45;z-index:-251655168;mso-position-horizontal:center;mso-position-horizontal-relative:page;mso-position-vertical:center;mso-position-vertical-relative:page" fillcolor="#d3d3d3" strokecolor="#d3d3d3">
          <v:textpath style="font-family:&quot;Arial&quot;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CEC"/>
    <w:multiLevelType w:val="hybridMultilevel"/>
    <w:tmpl w:val="E19CA9D4"/>
    <w:lvl w:ilvl="0" w:tplc="A118A82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7346"/>
    <w:multiLevelType w:val="multilevel"/>
    <w:tmpl w:val="155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A4E71"/>
    <w:multiLevelType w:val="multilevel"/>
    <w:tmpl w:val="0AE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E1411"/>
    <w:multiLevelType w:val="hybridMultilevel"/>
    <w:tmpl w:val="F64421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84562"/>
    <w:multiLevelType w:val="hybridMultilevel"/>
    <w:tmpl w:val="B87053B4"/>
    <w:lvl w:ilvl="0" w:tplc="EE802AB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507507"/>
    <w:multiLevelType w:val="hybridMultilevel"/>
    <w:tmpl w:val="B134C320"/>
    <w:lvl w:ilvl="0" w:tplc="A5DA3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EB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929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E0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E5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9C5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23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A5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64F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348C"/>
    <w:multiLevelType w:val="multilevel"/>
    <w:tmpl w:val="1768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871EF"/>
    <w:multiLevelType w:val="hybridMultilevel"/>
    <w:tmpl w:val="B3DEE522"/>
    <w:lvl w:ilvl="0" w:tplc="69AA170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A5B4D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B12A0"/>
    <w:multiLevelType w:val="hybridMultilevel"/>
    <w:tmpl w:val="C28647E2"/>
    <w:lvl w:ilvl="0" w:tplc="538A468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732E35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08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6B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C4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423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4F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69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AE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4CF6"/>
    <w:multiLevelType w:val="multilevel"/>
    <w:tmpl w:val="868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D134A"/>
    <w:multiLevelType w:val="multilevel"/>
    <w:tmpl w:val="855C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74393"/>
    <w:multiLevelType w:val="hybridMultilevel"/>
    <w:tmpl w:val="AC720130"/>
    <w:lvl w:ilvl="0" w:tplc="6C2A0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A6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004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29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025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E06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62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E6BD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E23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D0131"/>
    <w:multiLevelType w:val="hybridMultilevel"/>
    <w:tmpl w:val="C478B5B6"/>
    <w:lvl w:ilvl="0" w:tplc="12EE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628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62E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AE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A3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6C4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49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8E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8E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F1450"/>
    <w:multiLevelType w:val="hybridMultilevel"/>
    <w:tmpl w:val="A0964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10479"/>
    <w:multiLevelType w:val="hybridMultilevel"/>
    <w:tmpl w:val="FC980EFE"/>
    <w:lvl w:ilvl="0" w:tplc="C808584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C076E726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40A0D5A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7F6E2FB8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F0D4737C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F3E8B5F0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38E0A18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B5C0F8EE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6FD26CDE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638A78FD"/>
    <w:multiLevelType w:val="multilevel"/>
    <w:tmpl w:val="94E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7B0014"/>
    <w:multiLevelType w:val="hybridMultilevel"/>
    <w:tmpl w:val="60E6CA5A"/>
    <w:lvl w:ilvl="0" w:tplc="38185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85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43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0A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AD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07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0B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8D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E0F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63BE5"/>
    <w:multiLevelType w:val="multilevel"/>
    <w:tmpl w:val="DB8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E5546"/>
    <w:multiLevelType w:val="hybridMultilevel"/>
    <w:tmpl w:val="CA0CD36A"/>
    <w:lvl w:ilvl="0" w:tplc="F6804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17"/>
  </w:num>
  <w:num w:numId="13">
    <w:abstractNumId w:val="15"/>
  </w:num>
  <w:num w:numId="14">
    <w:abstractNumId w:val="9"/>
  </w:num>
  <w:num w:numId="15">
    <w:abstractNumId w:val="0"/>
  </w:num>
  <w:num w:numId="16">
    <w:abstractNumId w:val="4"/>
  </w:num>
  <w:num w:numId="17">
    <w:abstractNumId w:val="19"/>
  </w:num>
  <w:num w:numId="18">
    <w:abstractNumId w:val="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74"/>
    <w:rsid w:val="000458D5"/>
    <w:rsid w:val="00065995"/>
    <w:rsid w:val="000B2B2E"/>
    <w:rsid w:val="000B3D78"/>
    <w:rsid w:val="000D68AD"/>
    <w:rsid w:val="000E16CF"/>
    <w:rsid w:val="00121C63"/>
    <w:rsid w:val="00133D92"/>
    <w:rsid w:val="0014347B"/>
    <w:rsid w:val="0016788D"/>
    <w:rsid w:val="001E1D93"/>
    <w:rsid w:val="001E231E"/>
    <w:rsid w:val="001F2908"/>
    <w:rsid w:val="00246145"/>
    <w:rsid w:val="00246DD8"/>
    <w:rsid w:val="002507CB"/>
    <w:rsid w:val="00252904"/>
    <w:rsid w:val="0027226A"/>
    <w:rsid w:val="0027320B"/>
    <w:rsid w:val="0029308E"/>
    <w:rsid w:val="002B6E74"/>
    <w:rsid w:val="002B73D1"/>
    <w:rsid w:val="002D0CA6"/>
    <w:rsid w:val="002D775D"/>
    <w:rsid w:val="002E2303"/>
    <w:rsid w:val="002F787A"/>
    <w:rsid w:val="00300417"/>
    <w:rsid w:val="00320D80"/>
    <w:rsid w:val="00331DA2"/>
    <w:rsid w:val="00342D1A"/>
    <w:rsid w:val="00373D92"/>
    <w:rsid w:val="00382C1C"/>
    <w:rsid w:val="003B0798"/>
    <w:rsid w:val="003C0AE0"/>
    <w:rsid w:val="003C112A"/>
    <w:rsid w:val="003D422E"/>
    <w:rsid w:val="003E214E"/>
    <w:rsid w:val="00401C3C"/>
    <w:rsid w:val="004268F3"/>
    <w:rsid w:val="00460030"/>
    <w:rsid w:val="00481821"/>
    <w:rsid w:val="00546B7A"/>
    <w:rsid w:val="00550205"/>
    <w:rsid w:val="00552CE4"/>
    <w:rsid w:val="0056419A"/>
    <w:rsid w:val="00570EEA"/>
    <w:rsid w:val="005A4C41"/>
    <w:rsid w:val="005A512B"/>
    <w:rsid w:val="005D2CB9"/>
    <w:rsid w:val="006318FB"/>
    <w:rsid w:val="006342CD"/>
    <w:rsid w:val="006364A7"/>
    <w:rsid w:val="00654BC2"/>
    <w:rsid w:val="0065778C"/>
    <w:rsid w:val="00720985"/>
    <w:rsid w:val="00772312"/>
    <w:rsid w:val="007A0568"/>
    <w:rsid w:val="007A2D95"/>
    <w:rsid w:val="007C2936"/>
    <w:rsid w:val="008248E2"/>
    <w:rsid w:val="00850284"/>
    <w:rsid w:val="008818D7"/>
    <w:rsid w:val="008B4822"/>
    <w:rsid w:val="008B4EE7"/>
    <w:rsid w:val="008D5A0E"/>
    <w:rsid w:val="008D63CC"/>
    <w:rsid w:val="00924BDB"/>
    <w:rsid w:val="0093371F"/>
    <w:rsid w:val="009552A9"/>
    <w:rsid w:val="009E47E9"/>
    <w:rsid w:val="009E6C85"/>
    <w:rsid w:val="009F739F"/>
    <w:rsid w:val="00A725C0"/>
    <w:rsid w:val="00AB106A"/>
    <w:rsid w:val="00AF67DD"/>
    <w:rsid w:val="00B03E3B"/>
    <w:rsid w:val="00B1182B"/>
    <w:rsid w:val="00B1261F"/>
    <w:rsid w:val="00B12DA4"/>
    <w:rsid w:val="00B201EB"/>
    <w:rsid w:val="00B36B47"/>
    <w:rsid w:val="00B5696F"/>
    <w:rsid w:val="00B659B8"/>
    <w:rsid w:val="00B67AE3"/>
    <w:rsid w:val="00B90E54"/>
    <w:rsid w:val="00BE6492"/>
    <w:rsid w:val="00BF15B4"/>
    <w:rsid w:val="00C476CB"/>
    <w:rsid w:val="00C846EC"/>
    <w:rsid w:val="00CA0DF2"/>
    <w:rsid w:val="00CB13B3"/>
    <w:rsid w:val="00CF1CCC"/>
    <w:rsid w:val="00D15B31"/>
    <w:rsid w:val="00D30FCF"/>
    <w:rsid w:val="00DF016A"/>
    <w:rsid w:val="00E03473"/>
    <w:rsid w:val="00E12F8A"/>
    <w:rsid w:val="00E377BC"/>
    <w:rsid w:val="00E403F3"/>
    <w:rsid w:val="00E46FB7"/>
    <w:rsid w:val="00E56252"/>
    <w:rsid w:val="00E60292"/>
    <w:rsid w:val="00E775A0"/>
    <w:rsid w:val="00E926AE"/>
    <w:rsid w:val="00E96706"/>
    <w:rsid w:val="00EF4E45"/>
    <w:rsid w:val="00F31CA9"/>
    <w:rsid w:val="00F52AB4"/>
    <w:rsid w:val="00F77874"/>
    <w:rsid w:val="00F81936"/>
    <w:rsid w:val="00FA5A0E"/>
    <w:rsid w:val="00FA7833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64E2A451-F40C-40B2-A178-A674F91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48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46E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8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C846EC"/>
  </w:style>
  <w:style w:type="paragraph" w:styleId="Textedebulles">
    <w:name w:val="Balloon Text"/>
    <w:basedOn w:val="Normal"/>
    <w:link w:val="TextedebullesCar"/>
    <w:uiPriority w:val="99"/>
    <w:semiHidden/>
    <w:unhideWhenUsed/>
    <w:rsid w:val="00C8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6E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B106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AE0"/>
  </w:style>
  <w:style w:type="paragraph" w:styleId="Pieddepage">
    <w:name w:val="footer"/>
    <w:basedOn w:val="Normal"/>
    <w:link w:val="PieddepageCar"/>
    <w:uiPriority w:val="99"/>
    <w:unhideWhenUsed/>
    <w:rsid w:val="003C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etellier@ghu-paris.fr" TargetMode="External"/><Relationship Id="rId13" Type="http://schemas.openxmlformats.org/officeDocument/2006/relationships/hyperlink" Target="https://www.linkedin.com/company/ghu-pari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hu-paris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3076897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h@ghu-paris.fr" TargetMode="External"/><Relationship Id="rId10" Type="http://schemas.openxmlformats.org/officeDocument/2006/relationships/hyperlink" Target="http://www.ghu-paris.fr/fr/2019-ght-devient-ghu-pari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drh@ghu-paris.fr" TargetMode="External"/><Relationship Id="rId14" Type="http://schemas.openxmlformats.org/officeDocument/2006/relationships/hyperlink" Target="mailto:m.letellier@ghu-paris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92A1-BD2C-4FF6-A4B0-D7EAA1FC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CHSA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 Sophie</dc:creator>
  <cp:lastModifiedBy>KONATE Fatou</cp:lastModifiedBy>
  <cp:revision>2</cp:revision>
  <cp:lastPrinted>2018-03-21T10:31:00Z</cp:lastPrinted>
  <dcterms:created xsi:type="dcterms:W3CDTF">2020-09-14T06:41:00Z</dcterms:created>
  <dcterms:modified xsi:type="dcterms:W3CDTF">2020-09-14T06:41:00Z</dcterms:modified>
</cp:coreProperties>
</file>