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552CE4" w:rsidRPr="00300417" w:rsidRDefault="005325CB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INTITU</w:t>
      </w:r>
      <w:r w:rsidR="00B67AE3">
        <w:rPr>
          <w:rFonts w:ascii="Century Gothic" w:hAnsi="Century Gothic"/>
          <w:b/>
          <w:color w:val="008080"/>
        </w:rPr>
        <w:t>LE DU POSTE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9F7855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Temps plein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2D6488" w:rsidP="00B67A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Contractuel ou titulaire de la fonction publique hospitalière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9910EF" w:rsidP="001E1D9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Cadre socio-éducatif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9910EF" w:rsidP="00F31CA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Cadre s</w:t>
            </w:r>
            <w:r w:rsidR="00F924BB">
              <w:rPr>
                <w:rFonts w:ascii="Century Gothic" w:hAnsi="Century Gothic"/>
                <w:sz w:val="19"/>
                <w:szCs w:val="19"/>
              </w:rPr>
              <w:t>ocio-éducatif au CSAPA MARMOTTAN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Pr="000B2B2E" w:rsidRDefault="009910E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Centre médical Marmottan 17-19 rue d’Armaillé 75017 Paris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:rsidR="00C846EC" w:rsidRPr="000B2B2E" w:rsidRDefault="009910E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Temps plein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9910E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9h00-17h30 selon les besoins du service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1E1D93" w:rsidRPr="000B2B2E" w:rsidRDefault="005325CB" w:rsidP="008D63CC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2D6488">
              <w:rPr>
                <w:rFonts w:ascii="Century Gothic" w:hAnsi="Century Gothic"/>
                <w:sz w:val="19"/>
                <w:szCs w:val="19"/>
              </w:rPr>
              <w:t>Poste d’encadrement</w:t>
            </w:r>
          </w:p>
        </w:tc>
      </w:tr>
      <w:tr w:rsidR="00563297" w:rsidTr="00B67AE3"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9910EF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Dès que possible </w:t>
            </w:r>
          </w:p>
        </w:tc>
      </w:tr>
      <w:tr w:rsidR="00563297" w:rsidTr="00B67AE3">
        <w:trPr>
          <w:trHeight w:val="58"/>
        </w:trPr>
        <w:tc>
          <w:tcPr>
            <w:tcW w:w="3256" w:type="dxa"/>
          </w:tcPr>
          <w:p w:rsidR="00C846EC" w:rsidRPr="000B2B2E" w:rsidRDefault="005325CB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9910EF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Alexis LEREUILLE </w:t>
            </w:r>
            <w:hyperlink r:id="rId8" w:history="1">
              <w:r w:rsidR="002D6488" w:rsidRPr="00D978F8">
                <w:rPr>
                  <w:rStyle w:val="Lienhypertexte"/>
                  <w:rFonts w:ascii="Century Gothic" w:hAnsi="Century Gothic"/>
                  <w:sz w:val="19"/>
                  <w:szCs w:val="19"/>
                </w:rPr>
                <w:t>a.lereuille@ghu-paris.fr</w:t>
              </w:r>
            </w:hyperlink>
            <w:r w:rsidR="002D6488">
              <w:rPr>
                <w:rFonts w:ascii="Century Gothic" w:hAnsi="Century Gothic"/>
                <w:sz w:val="19"/>
                <w:szCs w:val="19"/>
              </w:rPr>
              <w:t xml:space="preserve"> Responsable de la coordination de l’action sociale et éducative du GHU</w:t>
            </w:r>
          </w:p>
        </w:tc>
      </w:tr>
    </w:tbl>
    <w:p w:rsidR="00342D1A" w:rsidRPr="000B2B2E" w:rsidRDefault="00342D1A" w:rsidP="00BF15B4">
      <w:pPr>
        <w:spacing w:after="0" w:line="240" w:lineRule="auto"/>
        <w:rPr>
          <w:rFonts w:ascii="Century Gothic" w:hAnsi="Century Gothic"/>
          <w:b/>
        </w:rPr>
      </w:pPr>
    </w:p>
    <w:p w:rsidR="004C5CE7" w:rsidRPr="002B6E74" w:rsidRDefault="005325CB" w:rsidP="002B6E7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:rsidR="00C61DEC" w:rsidRPr="003C112A" w:rsidRDefault="005325CB" w:rsidP="00C61DEC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9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Perray-Vaucluse.</w:t>
      </w:r>
      <w:r w:rsidR="00AD4482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>
        <w:rPr>
          <w:rFonts w:ascii="Century Gothic" w:hAnsi="Century Gothic"/>
          <w:color w:val="555E5E"/>
        </w:rPr>
        <w:t>le GHU Paris</w:t>
      </w:r>
      <w:r w:rsidRPr="003C112A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 xml:space="preserve">emploie </w:t>
      </w:r>
      <w:r w:rsidRPr="003C112A">
        <w:rPr>
          <w:rFonts w:ascii="Century Gothic" w:hAnsi="Century Gothic"/>
          <w:color w:val="555E5E"/>
        </w:rPr>
        <w:t xml:space="preserve">5600 </w:t>
      </w:r>
      <w:r>
        <w:rPr>
          <w:rFonts w:ascii="Century Gothic" w:hAnsi="Century Gothic"/>
          <w:color w:val="555E5E"/>
        </w:rPr>
        <w:t>hospitaliers répartis dans 100 sites parisiens, ainsi que des unités à dimension médico-sociale dans le 91 et le 93</w:t>
      </w:r>
      <w:r w:rsidRPr="003C112A">
        <w:rPr>
          <w:rFonts w:ascii="Century Gothic" w:hAnsi="Century Gothic"/>
          <w:color w:val="555E5E"/>
        </w:rPr>
        <w:t xml:space="preserve">. </w:t>
      </w:r>
    </w:p>
    <w:p w:rsidR="00C61DEC" w:rsidRPr="007C2936" w:rsidRDefault="005325CB" w:rsidP="00C61DEC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u w:val="none"/>
        </w:rPr>
      </w:pPr>
      <w:r w:rsidRPr="003C112A">
        <w:rPr>
          <w:rFonts w:ascii="Century Gothic" w:hAnsi="Century Gothic"/>
          <w:color w:val="555E5E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 w:rsidR="00AD4482">
        <w:rPr>
          <w:rFonts w:ascii="Century Gothic" w:hAnsi="Century Gothic"/>
          <w:color w:val="555E5E"/>
        </w:rPr>
        <w:t xml:space="preserve"> </w:t>
      </w:r>
      <w:hyperlink r:id="rId10" w:history="1">
        <w:r w:rsidRPr="007C2936">
          <w:rPr>
            <w:rStyle w:val="Lienhypertexte"/>
            <w:rFonts w:ascii="Century Gothic" w:hAnsi="Century Gothic"/>
          </w:rPr>
          <w:t>2 ‘ chrono pour connaître le GHU Paris en images animées </w:t>
        </w:r>
      </w:hyperlink>
    </w:p>
    <w:p w:rsidR="00C61DEC" w:rsidRDefault="00CA1FFC" w:rsidP="00C61DEC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hyperlink r:id="rId11" w:history="1">
        <w:r w:rsidR="005325CB" w:rsidRPr="00FA5A0E">
          <w:rPr>
            <w:rStyle w:val="Lienhypertexte"/>
            <w:rFonts w:ascii="Century Gothic" w:hAnsi="Century Gothic"/>
          </w:rPr>
          <w:t>www.ghu-paris.fr</w:t>
        </w:r>
      </w:hyperlink>
      <w:r w:rsidR="005325CB">
        <w:rPr>
          <w:rStyle w:val="Lienhypertexte"/>
          <w:rFonts w:ascii="Century Gothic" w:hAnsi="Century Gothic"/>
          <w:color w:val="555E5E"/>
        </w:rPr>
        <w:t xml:space="preserve"> / Linkedn </w:t>
      </w:r>
      <w:hyperlink r:id="rId12" w:history="1">
        <w:r w:rsidR="005325CB" w:rsidRPr="007C2936">
          <w:rPr>
            <w:rStyle w:val="Lienhypertexte"/>
            <w:rFonts w:ascii="Century Gothic" w:hAnsi="Century Gothic"/>
          </w:rPr>
          <w:t>Ghu Paris</w:t>
        </w:r>
      </w:hyperlink>
      <w:r w:rsidR="005325CB">
        <w:rPr>
          <w:rStyle w:val="Lienhypertexte"/>
          <w:rFonts w:ascii="Century Gothic" w:hAnsi="Century Gothic"/>
          <w:color w:val="555E5E"/>
        </w:rPr>
        <w:t xml:space="preserve"> / Twitter @GhuParis</w:t>
      </w:r>
    </w:p>
    <w:p w:rsidR="00C61DEC" w:rsidRPr="007C2936" w:rsidRDefault="005325CB" w:rsidP="00C61DEC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:rsidR="00FF0D83" w:rsidRDefault="00FF0D83" w:rsidP="00AB106A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</w:p>
    <w:p w:rsidR="00FF0D83" w:rsidRPr="00C61DEC" w:rsidRDefault="005325CB" w:rsidP="00C61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ÊTRE</w:t>
      </w:r>
      <w:r w:rsidR="00AD4482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SOIGNANT </w:t>
      </w: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AU SEIN DU GHU PARIS</w:t>
      </w:r>
    </w:p>
    <w:p w:rsidR="009308C9" w:rsidRPr="003C112A" w:rsidRDefault="005325CB" w:rsidP="00AB106A">
      <w:pPr>
        <w:spacing w:after="0" w:line="240" w:lineRule="auto"/>
        <w:jc w:val="both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t xml:space="preserve">Envie d’en découvrir plus ? Vous trouverez en </w:t>
      </w:r>
      <w:hyperlink r:id="rId13" w:history="1">
        <w:r w:rsidRPr="009308C9">
          <w:rPr>
            <w:rStyle w:val="Lienhypertexte"/>
            <w:rFonts w:ascii="Century Gothic" w:hAnsi="Century Gothic"/>
          </w:rPr>
          <w:t>&gt;&gt;cliquant ici&lt;&lt;</w:t>
        </w:r>
      </w:hyperlink>
      <w:r>
        <w:rPr>
          <w:rFonts w:ascii="Century Gothic" w:hAnsi="Century Gothic"/>
          <w:color w:val="555E5E"/>
        </w:rPr>
        <w:t xml:space="preserve"> les témoignages des soignants du GHU Paris. </w:t>
      </w:r>
    </w:p>
    <w:p w:rsidR="00924BDB" w:rsidRPr="000B2B2E" w:rsidRDefault="00924BD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:rsidR="009308C9" w:rsidRDefault="009308C9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5325C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PÔLE/SERVICE</w:t>
      </w:r>
    </w:p>
    <w:p w:rsidR="009F7855" w:rsidRDefault="00CA1FFC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hyperlink r:id="rId14" w:history="1">
        <w:r w:rsidR="009F7855" w:rsidRPr="00D978F8">
          <w:rPr>
            <w:rStyle w:val="Lienhypertexte"/>
            <w:rFonts w:ascii="Century Gothic" w:eastAsia="Times New Roman" w:hAnsi="Century Gothic" w:cs="Times New Roman"/>
            <w:b/>
            <w:bCs/>
            <w:sz w:val="20"/>
            <w:szCs w:val="20"/>
            <w:lang w:eastAsia="fr-FR"/>
          </w:rPr>
          <w:t>https://www.ghu-paris.fr/fr/pole-centre-marmottan</w:t>
        </w:r>
      </w:hyperlink>
    </w:p>
    <w:p w:rsidR="009F7855" w:rsidRDefault="009F785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9F7855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Le centre médical Marmottant est ouvert à toute personne majeure concernée par des problèmes d’usage de produits licites et illicites ou d’autres dépendances. Le centre propose un accompagnement institutionnel pluridisciplinaire médico-psycho-social basé sur le volontariat, la gratuité, l’anony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mat et la réduction des risques et des dommages.</w:t>
      </w:r>
    </w:p>
    <w:p w:rsidR="009F7855" w:rsidRDefault="009F785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9F7855" w:rsidRDefault="009F785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Le centre Médical Marmottan se compose de 4 unités :</w:t>
      </w:r>
    </w:p>
    <w:p w:rsidR="009F7855" w:rsidRDefault="009F7855" w:rsidP="00C37DF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L’unité d’accueil-consultation qui correspond à un CSAPA (centre de Soin, d’Accompagnement et de Prévention en Addictologie)</w:t>
      </w:r>
    </w:p>
    <w:p w:rsidR="009F7855" w:rsidRDefault="009F7855" w:rsidP="00C37DF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lastRenderedPageBreak/>
        <w:t xml:space="preserve">L’unité d’hospitalisation </w:t>
      </w:r>
      <w:r w:rsidR="00F924B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de 12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lits encadrée par un cadre de santé en lien avec le Médecin responsable de l’unité</w:t>
      </w:r>
    </w:p>
    <w:p w:rsidR="009F7855" w:rsidRDefault="00F924BB" w:rsidP="00C37DF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</w:t>
      </w:r>
      <w:r w:rsidR="009F7855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 consultation de médecine générale</w:t>
      </w:r>
    </w:p>
    <w:p w:rsidR="009F7855" w:rsidRDefault="009F7855" w:rsidP="00C37DF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L’unité Documentation-Formation-recherche</w:t>
      </w:r>
    </w:p>
    <w:p w:rsidR="009F7855" w:rsidRDefault="009F7855" w:rsidP="009F785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9F7855" w:rsidRPr="009F7855" w:rsidRDefault="009F7855" w:rsidP="009F785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B67AE3" w:rsidRPr="00C37DF6" w:rsidRDefault="005325C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C37DF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DESCRIPTION DU POSTE</w:t>
      </w:r>
    </w:p>
    <w:p w:rsidR="009F7855" w:rsidRPr="00C37DF6" w:rsidRDefault="00C37DF6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C37DF6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Dans le cadre des missions du pôle, des missions d’un CSAPA et plus largement au sein des différentes unités du pôle, le cadre socio-éducatif veille à réunir les conditions d’accueil nécessaires à une rencontre de qualité entre soignant et soigné et à un accompagnement spécialisé construit en fonction de la situation et de la demande du patient. Il est garant de l‘éthique, de l’anonymat, du respect des droits des patients</w:t>
      </w:r>
      <w:r w:rsidR="00F924B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.</w:t>
      </w:r>
    </w:p>
    <w:p w:rsidR="00B67AE3" w:rsidRDefault="005325C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 </w:t>
      </w:r>
    </w:p>
    <w:p w:rsidR="00F77874" w:rsidRPr="00130AF7" w:rsidRDefault="005325C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130AF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MISSIONS</w:t>
      </w:r>
    </w:p>
    <w:p w:rsidR="00C37DF6" w:rsidRPr="002D6488" w:rsidRDefault="00C37DF6" w:rsidP="002D648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Management et animation d’équipe (assistants de service social, éducateurs, accueillants) :</w:t>
      </w:r>
    </w:p>
    <w:p w:rsidR="00C37DF6" w:rsidRDefault="00C37DF6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assure l’encadrement des</w:t>
      </w:r>
      <w:r w:rsidR="006D1766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professionnels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socio-éducatifs, conjointement avec le médecin-chef, et en lien avec le cadre de pôle : gestion du temps de travail, évaluation annuelle, recrutement</w:t>
      </w:r>
    </w:p>
    <w:p w:rsidR="00C37DF6" w:rsidRDefault="006D1766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anim</w:t>
      </w:r>
      <w:r w:rsidR="00C37DF6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e et fédère les équipes socio-éducatives constituant le p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ôle, autour du projet de p</w:t>
      </w:r>
      <w:r w:rsidR="00B20B1D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ôle, pour assurer la déclinaison et la mise en œuvre des projets institutionnels et du GHU</w:t>
      </w:r>
    </w:p>
    <w:p w:rsidR="00B20B1D" w:rsidRP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B20B1D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 w:rsidRPr="00B20B1D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assure conseil et appui technique aux professionnels socio éducatifs du pôle, en entretien, réunion d’équipe et peut intervenir auprès d’un usager</w:t>
      </w:r>
      <w:r w:rsidR="007C781E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en qualité de tiers en vue d’assurer une médiation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B20B1D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 w:rsidRPr="00B20B1D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favorise les liens entre les professionnels socio-éducatifs du pôle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et les autres professionnels (soignants, médecins, …)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contribue au suivi et à l’amélioration des conditions de travail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organise le recensement des besoins en formation des personnels socio-éducatifs, participe à l’élaboration du plan de formation du pôle. 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veille à l’accueil et à l’encadrement des étudiants socio-éducatifs en stage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 implique les personnels socio-éducatifs du pôle dans la démarche qualité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propose des axes d’amélioration de l’accompagnement des patients</w:t>
      </w:r>
    </w:p>
    <w:p w:rsidR="000525B0" w:rsidRDefault="000525B0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 </w:t>
      </w:r>
    </w:p>
    <w:p w:rsidR="00B20B1D" w:rsidRDefault="00B20B1D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B20B1D" w:rsidRPr="002D6488" w:rsidRDefault="005D4075" w:rsidP="002D648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Fonction de conseil et d’expertise au sein du pôle et de l’Etablissement</w:t>
      </w:r>
      <w:r w:rsidR="002D6488" w:rsidRP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 :</w:t>
      </w:r>
    </w:p>
    <w:p w:rsidR="005D4075" w:rsidRDefault="005D407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contribution active à l’élaboration du projet de pôle et au suivi du contrat de pôle avec l’exécutif du pôle </w:t>
      </w:r>
    </w:p>
    <w:p w:rsidR="005D4075" w:rsidRDefault="005D407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participation aux réunions de bureau de pôle et de conseil de pôle </w:t>
      </w:r>
    </w:p>
    <w:p w:rsidR="005D4075" w:rsidRDefault="005D407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-représentation du pôle et de conseil de pôle </w:t>
      </w:r>
    </w:p>
    <w:p w:rsidR="005D4075" w:rsidRDefault="005D4075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-représentation du pôle et interface avec les partenaires extérieures</w:t>
      </w:r>
    </w:p>
    <w:p w:rsidR="005D4075" w:rsidRDefault="005C5FB9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 </w:t>
      </w:r>
      <w:r w:rsidR="005D4075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Développement de nouveaux partenariats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avec organisation de rencontres</w:t>
      </w:r>
    </w:p>
    <w:p w:rsidR="005C5FB9" w:rsidRDefault="005C5FB9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lastRenderedPageBreak/>
        <w:t>-Participation aux activités de la coordination de l’action sociale et éducative et aux projets du GHU</w:t>
      </w:r>
    </w:p>
    <w:p w:rsidR="000525B0" w:rsidRDefault="000525B0" w:rsidP="000525B0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0525B0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Accompagner l’équipe de soins dans un travail basé sur les principes d’anonymat, volontariat et réduction des risques et des dommages (RDRD)</w:t>
      </w:r>
    </w:p>
    <w:p w:rsidR="000525B0" w:rsidRDefault="000525B0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5C5FB9" w:rsidRDefault="005C5FB9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5C5FB9" w:rsidRPr="002D6488" w:rsidRDefault="005C5FB9" w:rsidP="002D648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Activités en lien avec la démarche qualité</w:t>
      </w:r>
    </w:p>
    <w:p w:rsidR="005C5FB9" w:rsidRPr="00F76C68" w:rsidRDefault="005C5FB9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S’assurer de l’application par les professionnels des procédures et protocoles en vigueur sur l’établissement</w:t>
      </w:r>
    </w:p>
    <w:p w:rsidR="005C5FB9" w:rsidRPr="00F76C68" w:rsidRDefault="005C5FB9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2E271B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</w:t>
      </w:r>
      <w:r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Participer aux réunions et groupes de travail en lien avec la démarche qualité</w:t>
      </w:r>
    </w:p>
    <w:p w:rsidR="005C5FB9" w:rsidRPr="00F76C68" w:rsidRDefault="002E271B" w:rsidP="00C37D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 </w:t>
      </w:r>
      <w:r w:rsidR="005C5FB9"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Favoriser la participation des professionnels du pôle aux réunions et groupes de travail en lien avec la démarche qualité</w:t>
      </w:r>
    </w:p>
    <w:p w:rsidR="00C37DF6" w:rsidRDefault="002E271B" w:rsidP="00BF15B4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 P</w:t>
      </w:r>
      <w:r w:rsidR="00714A8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articiper au pilotage de </w:t>
      </w:r>
      <w:r w:rsidR="00714A87"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la</w:t>
      </w:r>
      <w:r w:rsidR="00F76C68" w:rsidRPr="00F76C6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mise en œuvre ou la mise à jour des outils de la loi du 02 Janvier 2002</w:t>
      </w:r>
    </w:p>
    <w:p w:rsidR="00714A87" w:rsidRDefault="00714A87" w:rsidP="00BF15B4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0525B0" w:rsidRPr="000525B0" w:rsidRDefault="00714A87" w:rsidP="000525B0">
      <w:pPr>
        <w:pStyle w:val="Paragraphedeliste"/>
        <w:numPr>
          <w:ilvl w:val="0"/>
          <w:numId w:val="17"/>
        </w:num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Activités ponctuelles et/ou spécifiques</w:t>
      </w:r>
    </w:p>
    <w:p w:rsidR="00714A87" w:rsidRDefault="00714A87" w:rsidP="00714A87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Organiser et maintenir le lien entre </w:t>
      </w:r>
      <w:r w:rsid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les différentes structures</w:t>
      </w:r>
    </w:p>
    <w:p w:rsidR="00714A87" w:rsidRDefault="00714A87" w:rsidP="00714A87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Assurer le suivi et la traçabilité des actions et des actes</w:t>
      </w:r>
    </w:p>
    <w:p w:rsidR="00714A87" w:rsidRDefault="00714A87" w:rsidP="00714A87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Assurer le suivi de l’</w:t>
      </w:r>
      <w:r w:rsid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activité 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du CSAPA</w:t>
      </w:r>
    </w:p>
    <w:p w:rsidR="00714A87" w:rsidRDefault="00714A87" w:rsidP="00714A87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Réaliser un bilan annuel de l’</w:t>
      </w:r>
      <w:r w:rsidR="002D6488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activité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du CSAPA</w:t>
      </w:r>
    </w:p>
    <w:p w:rsidR="00714A87" w:rsidRPr="002E271B" w:rsidRDefault="00714A87" w:rsidP="002E271B">
      <w:pPr>
        <w:spacing w:after="0" w:line="240" w:lineRule="auto"/>
        <w:ind w:left="360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9E6C85" w:rsidRDefault="009E6C85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B67AE3" w:rsidRPr="00130AF7" w:rsidRDefault="005325CB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130AF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 xml:space="preserve">PROFIL </w:t>
      </w:r>
    </w:p>
    <w:p w:rsidR="00714A87" w:rsidRDefault="00714A8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A52469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Formations/diplômes</w:t>
      </w:r>
    </w:p>
    <w:p w:rsidR="00A52469" w:rsidRPr="00A52469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714A87" w:rsidRPr="00A52469" w:rsidRDefault="00714A8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A52469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Diplôme d’état professionnel</w:t>
      </w:r>
    </w:p>
    <w:p w:rsidR="00714A87" w:rsidRPr="00A52469" w:rsidRDefault="00714A8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A52469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CAFERUIS ou diplôme équivalent</w:t>
      </w:r>
    </w:p>
    <w:p w:rsidR="00714A87" w:rsidRDefault="00714A8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A52469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130AF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COMPETENCES REQUISES</w:t>
      </w:r>
    </w:p>
    <w:p w:rsidR="00A52469" w:rsidRPr="00130AF7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-Organiser une unité, service en fonction des différents critères (missions, stratégie, moyens, etc…)</w:t>
      </w:r>
    </w:p>
    <w:p w:rsidR="00A52469" w:rsidRPr="00130AF7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 Piloter, animer/ communique, motiver une ou plusieurs </w:t>
      </w:r>
      <w:r w:rsidR="00CF625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équipes</w:t>
      </w:r>
    </w:p>
    <w:p w:rsidR="00A52469" w:rsidRPr="00130AF7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CF625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Planifier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, organiser, répartir la charge de travail et </w:t>
      </w:r>
      <w:r w:rsidR="00CF625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allouer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les </w:t>
      </w:r>
      <w:r w:rsidR="00CF625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ressources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pour leur </w:t>
      </w:r>
      <w:r w:rsidR="00CF625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réalisation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, </w:t>
      </w:r>
    </w:p>
    <w:p w:rsidR="00A52469" w:rsidRPr="00130AF7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-travailler en équipe, en réseau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-Evaluer, développer et valoriser les compétences de ses collaborateurs et sa voir conduite un entretien d’évaluation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-Fixer des objectifs, mesurer des résultats et évaluer les performances individuelles et collectives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-concevoir ; formaliser et adapter des procédures, protocoles, modes opératoires, consignes relatives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à ce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domaine de compétence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-Analyser des données, des tableaux de bord et justifier des résultats relatifs aux activités 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lastRenderedPageBreak/>
        <w:t xml:space="preserve">- connaissance en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addictologie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et en psychiatrie</w:t>
      </w:r>
    </w:p>
    <w:p w:rsidR="00CF625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130AF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QUALITES REQUISES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Disponibilité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, adaptabilité et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réactivité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-Avoir le sens des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responsabilités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et être force de proposition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-capacité à argumenter et à négocier dans un souci d’équité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-capacité à faire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preuve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de neutralité bienveillante</w:t>
      </w:r>
    </w:p>
    <w:p w:rsidR="00CF6257" w:rsidRPr="00130AF7" w:rsidRDefault="00CF625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capacité à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gérer </w:t>
      </w:r>
      <w:r w:rsidR="00130AF7"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  son stress et ses affects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Capacité à gérer les conflits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Capacité à se questionner et à évaluer sa pratique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Capacité à actualiser ses connaissances et ses compétences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Capacité à gérer son temps</w:t>
      </w:r>
    </w:p>
    <w:p w:rsid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130AF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OBLIGATIONS PORFESSIONNIELLES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O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bligation de se conformer aux dispositions prévues par le règlement intérieur de l’établissement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Obligation de servir : exercice personnel et exclusif des fonctions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Obligations à l’égard de l’administration : discrétion professionnelle, moralité et dignité, réserve et neutralité</w:t>
      </w:r>
    </w:p>
    <w:p w:rsidR="00130AF7" w:rsidRP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-</w:t>
      </w: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Connaissance de la règlementation hospitalière et médico-sociale</w:t>
      </w:r>
    </w:p>
    <w:p w:rsidR="00130AF7" w:rsidRDefault="00130AF7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 w:rsidRPr="00130AF7"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 xml:space="preserve">Maitrise des outils informatiques </w:t>
      </w:r>
    </w:p>
    <w:p w:rsidR="006169FA" w:rsidRDefault="006169FA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</w:p>
    <w:p w:rsidR="006169FA" w:rsidRPr="006169FA" w:rsidRDefault="006169FA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</w:pPr>
      <w:r w:rsidRPr="006169FA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lang w:eastAsia="fr-FR"/>
        </w:rPr>
        <w:t>EVOLUTION DU POSTE</w:t>
      </w:r>
    </w:p>
    <w:p w:rsidR="006169FA" w:rsidRPr="00130AF7" w:rsidRDefault="006169FA" w:rsidP="009E6C85">
      <w:pPr>
        <w:spacing w:after="0" w:line="240" w:lineRule="auto"/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</w:pPr>
      <w:r>
        <w:rPr>
          <w:rFonts w:ascii="Century Gothic" w:eastAsia="Times New Roman" w:hAnsi="Century Gothic" w:cs="Times New Roman"/>
          <w:bCs/>
          <w:color w:val="000000" w:themeColor="text1"/>
          <w:lang w:eastAsia="fr-FR"/>
        </w:rPr>
        <w:t>Evolution des missions et du périmètre du poste selon l’évolution du projet du pôle</w:t>
      </w:r>
    </w:p>
    <w:p w:rsidR="00A52469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A52469" w:rsidRPr="00B67AE3" w:rsidRDefault="00A52469" w:rsidP="009E6C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3C112A" w:rsidRDefault="003C112A" w:rsidP="001E1D93">
      <w:pPr>
        <w:spacing w:after="0" w:line="240" w:lineRule="auto"/>
        <w:rPr>
          <w:rFonts w:ascii="Century Gothic" w:hAnsi="Century Gothic"/>
        </w:rPr>
      </w:pPr>
    </w:p>
    <w:sectPr w:rsidR="003C112A" w:rsidSect="00AD448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8" w:right="1418" w:bottom="1418" w:left="1418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FC" w:rsidRDefault="00CA1FFC">
      <w:pPr>
        <w:spacing w:after="0" w:line="240" w:lineRule="auto"/>
      </w:pPr>
      <w:r>
        <w:separator/>
      </w:r>
    </w:p>
  </w:endnote>
  <w:endnote w:type="continuationSeparator" w:id="0">
    <w:p w:rsidR="00CA1FFC" w:rsidRDefault="00CA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5325C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51435</wp:posOffset>
          </wp:positionV>
          <wp:extent cx="6405843" cy="105727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>
                    <a:fillRect/>
                  </a:stretch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AE3"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-247650</wp:posOffset>
          </wp:positionV>
          <wp:extent cx="6699584" cy="247650"/>
          <wp:effectExtent l="0" t="0" r="635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FC" w:rsidRDefault="00CA1FFC">
      <w:pPr>
        <w:spacing w:after="0" w:line="240" w:lineRule="auto"/>
      </w:pPr>
      <w:r>
        <w:separator/>
      </w:r>
    </w:p>
  </w:footnote>
  <w:footnote w:type="continuationSeparator" w:id="0">
    <w:p w:rsidR="00CA1FFC" w:rsidRDefault="00CA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97" w:rsidRDefault="00CA1F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5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207"/>
      <w:gridCol w:w="3153"/>
    </w:tblGrid>
    <w:tr w:rsidR="00563297" w:rsidRPr="007C781E" w:rsidTr="005B1C86">
      <w:trPr>
        <w:trHeight w:val="142"/>
        <w:jc w:val="center"/>
      </w:trPr>
      <w:tc>
        <w:tcPr>
          <w:tcW w:w="1012" w:type="pct"/>
          <w:vMerge w:val="restart"/>
          <w:shd w:val="clear" w:color="auto" w:fill="auto"/>
          <w:vAlign w:val="center"/>
        </w:tcPr>
        <w:p w:rsidR="00AD4482" w:rsidRPr="00FE6255" w:rsidRDefault="005325CB" w:rsidP="00AD4482">
          <w:pPr>
            <w:pStyle w:val="En-tte"/>
            <w:jc w:val="center"/>
            <w:rPr>
              <w:rFonts w:ascii="Century Gothic" w:hAnsi="Century Gothic"/>
            </w:rPr>
          </w:pPr>
          <w:r w:rsidRPr="00FE6255">
            <w:rPr>
              <w:rFonts w:ascii="Century Gothic" w:hAnsi="Century Gothic" w:cs="Arial"/>
              <w:noProof/>
              <w:color w:val="444446"/>
              <w:sz w:val="20"/>
              <w:szCs w:val="20"/>
              <w:lang w:eastAsia="fr-FR"/>
            </w:rPr>
            <w:drawing>
              <wp:inline distT="0" distB="0" distL="0" distR="0">
                <wp:extent cx="1136650" cy="313055"/>
                <wp:effectExtent l="0" t="0" r="6350" b="0"/>
                <wp:docPr id="13" name="Image 13" descr="logo-ghu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798520" name="Picture 1" descr="logo-ghu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4" w:type="pct"/>
          <w:vMerge w:val="restart"/>
          <w:shd w:val="clear" w:color="auto" w:fill="auto"/>
          <w:vAlign w:val="center"/>
        </w:tcPr>
        <w:p w:rsidR="00AD4482" w:rsidRPr="00FE6255" w:rsidRDefault="009F7855" w:rsidP="00AD4482">
          <w:pPr>
            <w:pStyle w:val="En-tte"/>
            <w:jc w:val="center"/>
            <w:rPr>
              <w:rFonts w:ascii="Century Gothic" w:hAnsi="Century Gothic"/>
              <w:b/>
              <w:smallCaps/>
              <w:sz w:val="28"/>
            </w:rPr>
          </w:pPr>
          <w:r>
            <w:rPr>
              <w:rFonts w:ascii="Century Gothic" w:hAnsi="Century Gothic"/>
              <w:b/>
              <w:smallCaps/>
              <w:sz w:val="28"/>
            </w:rPr>
            <w:t xml:space="preserve">Cadre socio-éducatif </w:t>
          </w:r>
          <w:r w:rsidR="006169FA">
            <w:rPr>
              <w:rFonts w:ascii="Century Gothic" w:hAnsi="Century Gothic"/>
              <w:b/>
              <w:smallCaps/>
              <w:sz w:val="28"/>
            </w:rPr>
            <w:t xml:space="preserve">Centre Médical </w:t>
          </w:r>
          <w:r>
            <w:rPr>
              <w:rFonts w:ascii="Century Gothic" w:hAnsi="Century Gothic"/>
              <w:b/>
              <w:smallCaps/>
              <w:sz w:val="28"/>
            </w:rPr>
            <w:t>Marmottan</w:t>
          </w:r>
          <w:r w:rsidR="006169FA">
            <w:rPr>
              <w:rFonts w:ascii="Century Gothic" w:hAnsi="Century Gothic"/>
              <w:b/>
              <w:smallCaps/>
              <w:sz w:val="28"/>
            </w:rPr>
            <w:t xml:space="preserve"> GHU</w:t>
          </w:r>
        </w:p>
      </w:tc>
      <w:tc>
        <w:tcPr>
          <w:tcW w:w="1504" w:type="pct"/>
          <w:shd w:val="clear" w:color="auto" w:fill="auto"/>
        </w:tcPr>
        <w:p w:rsidR="00AD4482" w:rsidRPr="00FE6255" w:rsidRDefault="005325CB" w:rsidP="00AD448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REFERENCE Formulaire :</w:t>
          </w:r>
        </w:p>
        <w:p w:rsidR="00AD4482" w:rsidRPr="00FE6255" w:rsidRDefault="005325CB" w:rsidP="00AD4482">
          <w:pPr>
            <w:pStyle w:val="En-tte"/>
            <w:jc w:val="center"/>
            <w:rPr>
              <w:rFonts w:ascii="Century Gothic" w:hAnsi="Century Gothic"/>
              <w:i/>
              <w:sz w:val="18"/>
              <w:szCs w:val="18"/>
              <w:lang w:val="en-US"/>
            </w:rPr>
          </w:pPr>
          <w:r w:rsidRPr="00FE6255">
            <w:rPr>
              <w:rFonts w:ascii="Century Gothic" w:hAnsi="Century Gothic"/>
              <w:i/>
              <w:sz w:val="16"/>
              <w:szCs w:val="18"/>
              <w:lang w:val="en-US"/>
            </w:rPr>
            <w:t>GHU-MGT-GRH-FOR-088</w:t>
          </w:r>
        </w:p>
      </w:tc>
    </w:tr>
    <w:tr w:rsidR="00563297" w:rsidTr="005B1C86">
      <w:trPr>
        <w:trHeight w:val="1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AD4482" w:rsidRPr="009F7855" w:rsidRDefault="00AD4482" w:rsidP="00AD448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  <w:lang w:val="en-US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AD4482" w:rsidRPr="009F7855" w:rsidRDefault="00AD4482" w:rsidP="00AD4482">
          <w:pPr>
            <w:pStyle w:val="En-tte"/>
            <w:jc w:val="center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1504" w:type="pct"/>
          <w:shd w:val="clear" w:color="auto" w:fill="auto"/>
        </w:tcPr>
        <w:p w:rsidR="00AD4482" w:rsidRPr="00FE6255" w:rsidRDefault="005325CB" w:rsidP="00AD448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GHU</w:t>
          </w:r>
        </w:p>
      </w:tc>
    </w:tr>
    <w:tr w:rsidR="00563297" w:rsidTr="005B1C86">
      <w:trPr>
        <w:trHeight w:val="7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AD4482" w:rsidRPr="00FE6255" w:rsidRDefault="005325CB" w:rsidP="00AD4482">
          <w:pPr>
            <w:pStyle w:val="En-tte"/>
            <w:rPr>
              <w:rFonts w:ascii="Century Gothic" w:hAnsi="Century Gothic"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VERSION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1</w:t>
          </w:r>
        </w:p>
      </w:tc>
    </w:tr>
    <w:tr w:rsidR="00563297" w:rsidTr="005B1C86">
      <w:trPr>
        <w:trHeight w:val="13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AD4482" w:rsidRPr="00FE6255" w:rsidRDefault="005325CB" w:rsidP="00AD448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DATE D’APPLICATION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15/06/2020</w:t>
          </w:r>
        </w:p>
      </w:tc>
    </w:tr>
    <w:tr w:rsidR="00563297" w:rsidTr="005B1C86">
      <w:trPr>
        <w:trHeight w:val="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AD4482" w:rsidRPr="00FE6255" w:rsidRDefault="00AD4482" w:rsidP="00AD448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AD4482" w:rsidRPr="00FE6255" w:rsidRDefault="005325CB" w:rsidP="00AD4482">
          <w:pPr>
            <w:pStyle w:val="En-tte"/>
            <w:jc w:val="center"/>
            <w:rPr>
              <w:rFonts w:ascii="Century Gothic" w:hAnsi="Century Gothic"/>
              <w:sz w:val="18"/>
              <w:szCs w:val="18"/>
            </w:rPr>
          </w:pPr>
          <w:r w:rsidRPr="00FE6255">
            <w:rPr>
              <w:rFonts w:ascii="Century Gothic" w:hAnsi="Century Gothic"/>
              <w:sz w:val="18"/>
              <w:szCs w:val="18"/>
            </w:rPr>
            <w:t xml:space="preserve">Page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352F06">
            <w:rPr>
              <w:rFonts w:ascii="Century Gothic" w:hAnsi="Century Gothic"/>
              <w:b/>
              <w:noProof/>
              <w:sz w:val="18"/>
              <w:szCs w:val="18"/>
            </w:rPr>
            <w:t>1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E6255">
            <w:rPr>
              <w:rFonts w:ascii="Century Gothic" w:hAnsi="Century Gothic"/>
              <w:sz w:val="18"/>
              <w:szCs w:val="18"/>
            </w:rPr>
            <w:t xml:space="preserve"> sur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NUMPAGES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352F06">
            <w:rPr>
              <w:rFonts w:ascii="Century Gothic" w:hAnsi="Century Gothic"/>
              <w:b/>
              <w:noProof/>
              <w:sz w:val="18"/>
              <w:szCs w:val="18"/>
            </w:rPr>
            <w:t>4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:rsidR="00363CA4" w:rsidRPr="00AD4482" w:rsidRDefault="00CA1FFC" w:rsidP="00AD4482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5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97" w:rsidRDefault="00CA1F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5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7507"/>
    <w:multiLevelType w:val="hybridMultilevel"/>
    <w:tmpl w:val="B134C320"/>
    <w:lvl w:ilvl="0" w:tplc="4558B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C6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AC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02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87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AF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62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22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6953"/>
    <w:multiLevelType w:val="hybridMultilevel"/>
    <w:tmpl w:val="FF1ED3A2"/>
    <w:lvl w:ilvl="0" w:tplc="B69299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75121"/>
    <w:multiLevelType w:val="hybridMultilevel"/>
    <w:tmpl w:val="4E30D506"/>
    <w:lvl w:ilvl="0" w:tplc="B69299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12A0"/>
    <w:multiLevelType w:val="hybridMultilevel"/>
    <w:tmpl w:val="C28647E2"/>
    <w:lvl w:ilvl="0" w:tplc="2B58140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CED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6A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0F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A8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21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1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83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08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0A21"/>
    <w:multiLevelType w:val="hybridMultilevel"/>
    <w:tmpl w:val="7AA6A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74393"/>
    <w:multiLevelType w:val="hybridMultilevel"/>
    <w:tmpl w:val="AC720130"/>
    <w:lvl w:ilvl="0" w:tplc="BCE41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AE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41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E3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8F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89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EE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2B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A5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0131"/>
    <w:multiLevelType w:val="hybridMultilevel"/>
    <w:tmpl w:val="C478B5B6"/>
    <w:lvl w:ilvl="0" w:tplc="FAE2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C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CC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EA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4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7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8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F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0F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0479"/>
    <w:multiLevelType w:val="hybridMultilevel"/>
    <w:tmpl w:val="FC980EFE"/>
    <w:lvl w:ilvl="0" w:tplc="E692FCEE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F35A5F2E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E964447E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29E6EBE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E0E4096A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A0345718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9112FC3A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CBBEDD6C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17294C6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B0014"/>
    <w:multiLevelType w:val="hybridMultilevel"/>
    <w:tmpl w:val="60E6CA5A"/>
    <w:lvl w:ilvl="0" w:tplc="BF88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AC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A8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9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84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E3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0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CA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458D5"/>
    <w:rsid w:val="000525B0"/>
    <w:rsid w:val="00065995"/>
    <w:rsid w:val="000B2B2E"/>
    <w:rsid w:val="000B3D78"/>
    <w:rsid w:val="000C7AA0"/>
    <w:rsid w:val="000D68AD"/>
    <w:rsid w:val="000E16CF"/>
    <w:rsid w:val="00121C63"/>
    <w:rsid w:val="00130AF7"/>
    <w:rsid w:val="0014347B"/>
    <w:rsid w:val="00156666"/>
    <w:rsid w:val="00163655"/>
    <w:rsid w:val="0016788D"/>
    <w:rsid w:val="001E1D93"/>
    <w:rsid w:val="001E231E"/>
    <w:rsid w:val="001F2908"/>
    <w:rsid w:val="00220968"/>
    <w:rsid w:val="002507CB"/>
    <w:rsid w:val="00252904"/>
    <w:rsid w:val="0027226A"/>
    <w:rsid w:val="002B6E74"/>
    <w:rsid w:val="002B73D1"/>
    <w:rsid w:val="002D6488"/>
    <w:rsid w:val="002D775D"/>
    <w:rsid w:val="002E271B"/>
    <w:rsid w:val="002F787A"/>
    <w:rsid w:val="00300417"/>
    <w:rsid w:val="00331DA2"/>
    <w:rsid w:val="00342D1A"/>
    <w:rsid w:val="00352F06"/>
    <w:rsid w:val="00363CA4"/>
    <w:rsid w:val="00382C1C"/>
    <w:rsid w:val="003B0798"/>
    <w:rsid w:val="003C0AE0"/>
    <w:rsid w:val="003C112A"/>
    <w:rsid w:val="003D422E"/>
    <w:rsid w:val="00401C3C"/>
    <w:rsid w:val="004268F3"/>
    <w:rsid w:val="00460030"/>
    <w:rsid w:val="004746B5"/>
    <w:rsid w:val="00481821"/>
    <w:rsid w:val="004C5CE7"/>
    <w:rsid w:val="00526F39"/>
    <w:rsid w:val="005325CB"/>
    <w:rsid w:val="00550205"/>
    <w:rsid w:val="00552CE4"/>
    <w:rsid w:val="00563297"/>
    <w:rsid w:val="0056419A"/>
    <w:rsid w:val="00570EEA"/>
    <w:rsid w:val="005A1C08"/>
    <w:rsid w:val="005A4C41"/>
    <w:rsid w:val="005A512B"/>
    <w:rsid w:val="005C5FB9"/>
    <w:rsid w:val="005D2CB9"/>
    <w:rsid w:val="005D4075"/>
    <w:rsid w:val="006169FA"/>
    <w:rsid w:val="006318FB"/>
    <w:rsid w:val="006364A7"/>
    <w:rsid w:val="00654BC2"/>
    <w:rsid w:val="006D1766"/>
    <w:rsid w:val="00700E83"/>
    <w:rsid w:val="00714A87"/>
    <w:rsid w:val="00720985"/>
    <w:rsid w:val="007529A7"/>
    <w:rsid w:val="00772312"/>
    <w:rsid w:val="007A0568"/>
    <w:rsid w:val="007A2D95"/>
    <w:rsid w:val="007C2936"/>
    <w:rsid w:val="007C781E"/>
    <w:rsid w:val="007F62B8"/>
    <w:rsid w:val="008248E2"/>
    <w:rsid w:val="00850284"/>
    <w:rsid w:val="008818D7"/>
    <w:rsid w:val="008B4EE7"/>
    <w:rsid w:val="008D5A0E"/>
    <w:rsid w:val="008D63CC"/>
    <w:rsid w:val="00924BDB"/>
    <w:rsid w:val="009308C9"/>
    <w:rsid w:val="00936D6C"/>
    <w:rsid w:val="009910EF"/>
    <w:rsid w:val="009E47E9"/>
    <w:rsid w:val="009E6C85"/>
    <w:rsid w:val="009F739F"/>
    <w:rsid w:val="009F7855"/>
    <w:rsid w:val="00A52469"/>
    <w:rsid w:val="00A725C0"/>
    <w:rsid w:val="00AA08F0"/>
    <w:rsid w:val="00AB106A"/>
    <w:rsid w:val="00AC2FDF"/>
    <w:rsid w:val="00AD4482"/>
    <w:rsid w:val="00AF67DD"/>
    <w:rsid w:val="00B03E3B"/>
    <w:rsid w:val="00B1182B"/>
    <w:rsid w:val="00B1261F"/>
    <w:rsid w:val="00B12DA4"/>
    <w:rsid w:val="00B20B1D"/>
    <w:rsid w:val="00B5696F"/>
    <w:rsid w:val="00B659B8"/>
    <w:rsid w:val="00B67AE3"/>
    <w:rsid w:val="00B82553"/>
    <w:rsid w:val="00B90E54"/>
    <w:rsid w:val="00BE6492"/>
    <w:rsid w:val="00BF15B4"/>
    <w:rsid w:val="00C35399"/>
    <w:rsid w:val="00C37DF6"/>
    <w:rsid w:val="00C476CB"/>
    <w:rsid w:val="00C51726"/>
    <w:rsid w:val="00C61DEC"/>
    <w:rsid w:val="00C846EC"/>
    <w:rsid w:val="00CA0DF2"/>
    <w:rsid w:val="00CA1FFC"/>
    <w:rsid w:val="00CB13B3"/>
    <w:rsid w:val="00CF2522"/>
    <w:rsid w:val="00CF6257"/>
    <w:rsid w:val="00E46FB7"/>
    <w:rsid w:val="00E66CFD"/>
    <w:rsid w:val="00E926AE"/>
    <w:rsid w:val="00E96706"/>
    <w:rsid w:val="00EF4E45"/>
    <w:rsid w:val="00F31CA9"/>
    <w:rsid w:val="00F76C68"/>
    <w:rsid w:val="00F77874"/>
    <w:rsid w:val="00F924BB"/>
    <w:rsid w:val="00FA5A0E"/>
    <w:rsid w:val="00FC705F"/>
    <w:rsid w:val="00FE6255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reuille@ghu-paris.fr" TargetMode="External"/><Relationship Id="rId13" Type="http://schemas.openxmlformats.org/officeDocument/2006/relationships/hyperlink" Target="http://www.ghu-paris.fr/fr/etre-infirmier-e-au-ghu-pari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ghu-par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hu-pari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3076897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hu-paris.fr/fr/2019-ght-devient-ghu-paris/" TargetMode="External"/><Relationship Id="rId14" Type="http://schemas.openxmlformats.org/officeDocument/2006/relationships/hyperlink" Target="https://www.ghu-paris.fr/fr/pole-centre-marmotta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EF1D-069C-426C-834C-9CD080C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MEDDAS Rafik</cp:lastModifiedBy>
  <cp:revision>2</cp:revision>
  <cp:lastPrinted>2018-03-21T10:31:00Z</cp:lastPrinted>
  <dcterms:created xsi:type="dcterms:W3CDTF">2020-11-10T15:40:00Z</dcterms:created>
  <dcterms:modified xsi:type="dcterms:W3CDTF">2020-11-10T15:40:00Z</dcterms:modified>
</cp:coreProperties>
</file>